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E16BF" w14:textId="1517B302" w:rsidR="00322A63" w:rsidRPr="009A4263" w:rsidRDefault="00322A63" w:rsidP="00322A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Pr>
          <w:rFonts w:ascii="Arial" w:eastAsia="ＭＳ 明朝" w:hAnsi="Arial"/>
          <w:b/>
          <w:noProof/>
          <w:lang w:val="en-US"/>
        </w:rPr>
        <w:t>4bis</w:t>
      </w:r>
      <w:r w:rsidRPr="009A4263">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R1-</w:t>
      </w:r>
      <w:r w:rsidR="00F932AA" w:rsidRPr="009A4263">
        <w:rPr>
          <w:rFonts w:ascii="Arial" w:eastAsia="ＭＳ 明朝" w:hAnsi="Arial"/>
          <w:b/>
          <w:noProof/>
          <w:lang w:val="en-US" w:eastAsia="x-none"/>
        </w:rPr>
        <w:t>18</w:t>
      </w:r>
      <w:r w:rsidR="00F932AA">
        <w:rPr>
          <w:rFonts w:ascii="Arial" w:eastAsia="ＭＳ 明朝" w:hAnsi="Arial"/>
          <w:b/>
          <w:noProof/>
          <w:lang w:val="en-US" w:eastAsia="x-none"/>
        </w:rPr>
        <w:t>11371</w:t>
      </w:r>
    </w:p>
    <w:p w14:paraId="42CB5582" w14:textId="77777777" w:rsidR="00322A63" w:rsidRPr="005F64A2" w:rsidRDefault="00322A63" w:rsidP="00322A63">
      <w:pPr>
        <w:pStyle w:val="a7"/>
        <w:rPr>
          <w:sz w:val="24"/>
          <w:lang w:val="en-US"/>
        </w:rPr>
      </w:pPr>
      <w:r>
        <w:rPr>
          <w:sz w:val="24"/>
          <w:lang w:val="en-US"/>
        </w:rPr>
        <w:t>Chengdu, China, October</w:t>
      </w:r>
      <w:r w:rsidRPr="0070697C">
        <w:rPr>
          <w:sz w:val="24"/>
          <w:lang w:val="en-US"/>
        </w:rPr>
        <w:t xml:space="preserve"> </w:t>
      </w:r>
      <w:r>
        <w:rPr>
          <w:sz w:val="24"/>
          <w:lang w:val="en-US"/>
        </w:rPr>
        <w:t>8</w:t>
      </w:r>
      <w:r w:rsidRPr="0070697C">
        <w:rPr>
          <w:sz w:val="24"/>
          <w:lang w:val="en-US"/>
        </w:rPr>
        <w:t xml:space="preserve">th – </w:t>
      </w:r>
      <w:r>
        <w:rPr>
          <w:sz w:val="24"/>
          <w:lang w:val="en-US"/>
        </w:rPr>
        <w:t>12</w:t>
      </w:r>
      <w:r w:rsidRPr="0070697C">
        <w:rPr>
          <w:sz w:val="24"/>
          <w:lang w:val="en-US"/>
        </w:rPr>
        <w:t>th,</w:t>
      </w:r>
      <w:r w:rsidRPr="00557A07">
        <w:rPr>
          <w:sz w:val="24"/>
          <w:lang w:val="en-US"/>
        </w:rPr>
        <w:t xml:space="preserve"> 201</w:t>
      </w:r>
      <w:r w:rsidRPr="005F64A2">
        <w:rPr>
          <w:sz w:val="24"/>
          <w:lang w:val="en-US"/>
        </w:rPr>
        <w:t>8</w:t>
      </w:r>
    </w:p>
    <w:p w14:paraId="0D9C37F1" w14:textId="77777777" w:rsidR="00322A63" w:rsidRPr="0099332C" w:rsidRDefault="00322A63" w:rsidP="00322A63">
      <w:pPr>
        <w:tabs>
          <w:tab w:val="center" w:pos="4536"/>
          <w:tab w:val="right" w:pos="8280"/>
          <w:tab w:val="right" w:pos="9639"/>
        </w:tabs>
        <w:ind w:right="2"/>
        <w:rPr>
          <w:rFonts w:ascii="Arial" w:hAnsi="Arial" w:cs="Arial"/>
          <w:b/>
          <w:bCs/>
          <w:sz w:val="28"/>
          <w:lang w:val="en-US"/>
        </w:rPr>
      </w:pPr>
    </w:p>
    <w:p w14:paraId="3D1AD89D" w14:textId="77777777" w:rsidR="00322A63" w:rsidRPr="000956CC" w:rsidRDefault="00322A63" w:rsidP="00322A63">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49F4E47D" w14:textId="0D239B83" w:rsidR="00322A63" w:rsidRPr="006C4B73" w:rsidRDefault="00322A63" w:rsidP="00322A63">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56AD1" w:rsidRPr="00E56AD1">
        <w:rPr>
          <w:sz w:val="24"/>
          <w:lang w:val="en-US"/>
        </w:rPr>
        <w:t>Enhancements to configured grants for NR-U operation</w:t>
      </w:r>
    </w:p>
    <w:bookmarkEnd w:id="1"/>
    <w:bookmarkEnd w:id="2"/>
    <w:bookmarkEnd w:id="3"/>
    <w:bookmarkEnd w:id="4"/>
    <w:p w14:paraId="52EE6700" w14:textId="697C42B8" w:rsidR="00322A63" w:rsidRPr="00CE448F" w:rsidRDefault="00322A63" w:rsidP="00322A63">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D22413">
        <w:rPr>
          <w:sz w:val="24"/>
          <w:lang w:val="en-US" w:eastAsia="ja-JP"/>
        </w:rPr>
        <w:t>7.2.2.4.4</w:t>
      </w:r>
    </w:p>
    <w:p w14:paraId="1EF251CE" w14:textId="77777777" w:rsidR="00322A63" w:rsidRPr="00CE448F" w:rsidRDefault="00322A63" w:rsidP="00322A63">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18BD1AC" w14:textId="26EF4905" w:rsidR="005B147C" w:rsidRDefault="009C6CDD" w:rsidP="00AB0C9F">
      <w:pPr>
        <w:spacing w:afterLines="50" w:after="120"/>
        <w:jc w:val="both"/>
        <w:rPr>
          <w:rFonts w:eastAsiaTheme="minorEastAsia"/>
          <w:sz w:val="22"/>
        </w:rPr>
      </w:pPr>
      <w:r w:rsidRPr="009C6CDD">
        <w:rPr>
          <w:rFonts w:eastAsiaTheme="minorEastAsia"/>
          <w:sz w:val="22"/>
        </w:rPr>
        <w:t xml:space="preserve">In this contribution, we address </w:t>
      </w:r>
      <w:r w:rsidR="009C493A">
        <w:rPr>
          <w:rFonts w:eastAsiaTheme="minorEastAsia" w:hint="eastAsia"/>
          <w:sz w:val="22"/>
        </w:rPr>
        <w:t xml:space="preserve">study on </w:t>
      </w:r>
      <w:r w:rsidR="009C493A">
        <w:rPr>
          <w:rFonts w:eastAsiaTheme="minorEastAsia"/>
          <w:sz w:val="22"/>
        </w:rPr>
        <w:t>enhancements to configured grant for NR unlicensed band.</w:t>
      </w:r>
    </w:p>
    <w:p w14:paraId="6D16E380" w14:textId="56210741" w:rsidR="009C6CDD" w:rsidRDefault="009C493A" w:rsidP="009C6CDD">
      <w:pPr>
        <w:pStyle w:val="1"/>
        <w:numPr>
          <w:ilvl w:val="0"/>
          <w:numId w:val="6"/>
        </w:numPr>
        <w:spacing w:after="120"/>
        <w:jc w:val="both"/>
        <w:rPr>
          <w:rFonts w:eastAsia="DengXian"/>
          <w:b/>
          <w:lang w:val="en-US" w:eastAsia="zh-CN"/>
        </w:rPr>
      </w:pPr>
      <w:r>
        <w:rPr>
          <w:rFonts w:eastAsia="DengXian"/>
          <w:b/>
          <w:lang w:val="en-US" w:eastAsia="zh-CN"/>
        </w:rPr>
        <w:t>Clarification of each feature assuming scenarios</w:t>
      </w:r>
    </w:p>
    <w:p w14:paraId="03E95006" w14:textId="44D10D1F" w:rsidR="009C493A" w:rsidRPr="009C493A" w:rsidRDefault="009C493A" w:rsidP="009C493A">
      <w:pPr>
        <w:spacing w:afterLines="50" w:after="120"/>
        <w:jc w:val="both"/>
        <w:rPr>
          <w:rFonts w:eastAsiaTheme="minorEastAsia"/>
          <w:sz w:val="22"/>
          <w:lang w:val="en-US"/>
        </w:rPr>
      </w:pPr>
      <w:r w:rsidRPr="009C493A">
        <w:rPr>
          <w:rFonts w:eastAsiaTheme="minorEastAsia"/>
          <w:sz w:val="22"/>
          <w:lang w:val="en-US"/>
        </w:rPr>
        <w:t>At the RAN plenary meeting #80, objective of this SI was approved in SID as follows [</w:t>
      </w:r>
      <w:r w:rsidR="00F932AA">
        <w:rPr>
          <w:rFonts w:eastAsiaTheme="minorEastAsia"/>
          <w:sz w:val="22"/>
          <w:lang w:val="en-US"/>
        </w:rPr>
        <w:t>1</w:t>
      </w:r>
      <w:r w:rsidRPr="009C493A">
        <w:rPr>
          <w:rFonts w:eastAsiaTheme="minorEastAsia"/>
          <w:sz w:val="22"/>
          <w:lang w:val="en-US"/>
        </w:rPr>
        <w:t>].</w:t>
      </w:r>
    </w:p>
    <w:tbl>
      <w:tblPr>
        <w:tblStyle w:val="90"/>
        <w:tblW w:w="0" w:type="auto"/>
        <w:tblLook w:val="04A0" w:firstRow="1" w:lastRow="0" w:firstColumn="1" w:lastColumn="0" w:noHBand="0" w:noVBand="1"/>
      </w:tblPr>
      <w:tblGrid>
        <w:gridCol w:w="9904"/>
      </w:tblGrid>
      <w:tr w:rsidR="009C493A" w:rsidRPr="009C493A" w14:paraId="2E648D59" w14:textId="77777777" w:rsidTr="00ED4413">
        <w:tc>
          <w:tcPr>
            <w:tcW w:w="9904" w:type="dxa"/>
          </w:tcPr>
          <w:p w14:paraId="28AFB472" w14:textId="77777777" w:rsidR="009C493A" w:rsidRPr="009C493A" w:rsidRDefault="009C493A" w:rsidP="009C493A">
            <w:pPr>
              <w:snapToGrid w:val="0"/>
              <w:spacing w:after="0"/>
              <w:rPr>
                <w:rFonts w:eastAsia="游明朝"/>
                <w:bCs/>
                <w:sz w:val="20"/>
                <w:lang w:eastAsia="en-US"/>
              </w:rPr>
            </w:pPr>
            <w:r w:rsidRPr="009C493A">
              <w:rPr>
                <w:rFonts w:eastAsia="游明朝"/>
                <w:bCs/>
                <w:sz w:val="20"/>
                <w:lang w:eastAsia="en-US"/>
              </w:rPr>
              <w:t>This study item will include the following objectives</w:t>
            </w:r>
          </w:p>
          <w:p w14:paraId="77AA5114" w14:textId="77777777" w:rsidR="009C493A" w:rsidRPr="009C493A" w:rsidRDefault="009C493A" w:rsidP="009C493A">
            <w:pPr>
              <w:snapToGrid w:val="0"/>
              <w:spacing w:after="0"/>
              <w:rPr>
                <w:rFonts w:eastAsia="游明朝"/>
                <w:bCs/>
                <w:sz w:val="20"/>
                <w:lang w:eastAsia="en-US"/>
              </w:rPr>
            </w:pPr>
          </w:p>
          <w:p w14:paraId="5BF55A09" w14:textId="77777777" w:rsidR="009C493A" w:rsidRPr="009C493A" w:rsidRDefault="009C493A" w:rsidP="009C493A">
            <w:pPr>
              <w:numPr>
                <w:ilvl w:val="0"/>
                <w:numId w:val="40"/>
              </w:numPr>
              <w:snapToGrid w:val="0"/>
              <w:spacing w:after="0"/>
              <w:rPr>
                <w:rFonts w:eastAsia="游明朝"/>
                <w:bCs/>
                <w:sz w:val="20"/>
                <w:lang w:val="en-US" w:eastAsia="en-US"/>
              </w:rPr>
            </w:pPr>
            <w:r w:rsidRPr="009C493A">
              <w:rPr>
                <w:rFonts w:eastAsia="游明朝"/>
                <w:bCs/>
                <w:sz w:val="20"/>
                <w:lang w:val="en-US" w:eastAsia="en-US"/>
              </w:rPr>
              <w:t xml:space="preserve">Study NR-based operation in unlicensed spectrum (RAN1, RAN2, RAN4) including </w:t>
            </w:r>
          </w:p>
          <w:p w14:paraId="6E8BE927" w14:textId="77777777" w:rsidR="009C493A" w:rsidRPr="009C493A" w:rsidRDefault="009C493A" w:rsidP="009C493A">
            <w:pPr>
              <w:numPr>
                <w:ilvl w:val="1"/>
                <w:numId w:val="41"/>
              </w:numPr>
              <w:snapToGrid w:val="0"/>
              <w:spacing w:after="0"/>
              <w:rPr>
                <w:rFonts w:eastAsia="游明朝"/>
                <w:bCs/>
                <w:sz w:val="20"/>
                <w:lang w:val="en-US" w:eastAsia="en-US"/>
              </w:rPr>
            </w:pPr>
            <w:r w:rsidRPr="009C493A">
              <w:rPr>
                <w:rFonts w:eastAsia="游明朝"/>
                <w:bCs/>
                <w:sz w:val="20"/>
                <w:lang w:val="en-US" w:eastAsia="en-US"/>
              </w:rPr>
              <w:t>Physical channels inheriting the choices of duplex mode, waveform, carrier bandwidth, subcarrier spacing, frame structure, and physical layer design made as part of the NR study and avoiding unnecessary divergence with decisions made in the NR WI</w:t>
            </w:r>
          </w:p>
          <w:p w14:paraId="087C6DDD" w14:textId="77777777" w:rsidR="009C493A" w:rsidRPr="009C493A" w:rsidRDefault="009C493A" w:rsidP="009C493A">
            <w:pPr>
              <w:numPr>
                <w:ilvl w:val="2"/>
                <w:numId w:val="41"/>
              </w:numPr>
              <w:snapToGrid w:val="0"/>
              <w:spacing w:after="0"/>
              <w:rPr>
                <w:rFonts w:eastAsia="游明朝"/>
                <w:bCs/>
                <w:sz w:val="20"/>
                <w:lang w:val="en-US" w:eastAsia="en-US"/>
              </w:rPr>
            </w:pPr>
            <w:r w:rsidRPr="009C493A">
              <w:rPr>
                <w:rFonts w:eastAsia="游明朝"/>
                <w:bCs/>
                <w:sz w:val="20"/>
                <w:lang w:val="en-US" w:eastAsia="en-US"/>
              </w:rPr>
              <w:t>Consider unlicensed bands below 7GHz</w:t>
            </w:r>
          </w:p>
          <w:p w14:paraId="288F71F5" w14:textId="77777777" w:rsidR="009C493A" w:rsidRPr="009C493A" w:rsidRDefault="009C493A" w:rsidP="009C493A">
            <w:pPr>
              <w:numPr>
                <w:ilvl w:val="2"/>
                <w:numId w:val="41"/>
              </w:numPr>
              <w:snapToGrid w:val="0"/>
              <w:spacing w:after="0"/>
              <w:rPr>
                <w:rFonts w:eastAsia="游明朝"/>
                <w:bCs/>
                <w:sz w:val="20"/>
                <w:lang w:val="en-US" w:eastAsia="en-US"/>
              </w:rPr>
            </w:pPr>
            <w:r w:rsidRPr="009C493A">
              <w:rPr>
                <w:rFonts w:eastAsia="游明朝" w:hint="eastAsia"/>
                <w:bCs/>
                <w:sz w:val="20"/>
                <w:lang w:val="en-US" w:eastAsia="zh-CN"/>
              </w:rPr>
              <w:t xml:space="preserve">Consider similar forward compatibility </w:t>
            </w:r>
            <w:r w:rsidRPr="009C493A">
              <w:rPr>
                <w:rFonts w:eastAsia="游明朝"/>
                <w:bCs/>
                <w:sz w:val="20"/>
                <w:lang w:val="en-US" w:eastAsia="zh-CN"/>
              </w:rPr>
              <w:t>principles</w:t>
            </w:r>
            <w:r w:rsidRPr="009C493A">
              <w:rPr>
                <w:rFonts w:eastAsia="游明朝" w:hint="eastAsia"/>
                <w:bCs/>
                <w:sz w:val="20"/>
                <w:lang w:val="en-US" w:eastAsia="zh-CN"/>
              </w:rPr>
              <w:t xml:space="preserve"> made in the NR WI</w:t>
            </w:r>
            <w:r w:rsidRPr="009C493A">
              <w:rPr>
                <w:rFonts w:eastAsia="游明朝"/>
                <w:bCs/>
                <w:sz w:val="20"/>
                <w:lang w:val="en-US" w:eastAsia="en-US"/>
              </w:rPr>
              <w:t xml:space="preserve"> </w:t>
            </w:r>
          </w:p>
          <w:p w14:paraId="22138019" w14:textId="77777777" w:rsidR="009C493A" w:rsidRPr="009C493A" w:rsidRDefault="009C493A" w:rsidP="009C493A">
            <w:pPr>
              <w:numPr>
                <w:ilvl w:val="1"/>
                <w:numId w:val="41"/>
              </w:numPr>
              <w:snapToGrid w:val="0"/>
              <w:spacing w:after="0"/>
              <w:rPr>
                <w:rFonts w:eastAsia="游明朝"/>
                <w:bCs/>
                <w:sz w:val="20"/>
                <w:lang w:eastAsia="en-US"/>
              </w:rPr>
            </w:pPr>
            <w:r w:rsidRPr="009C493A">
              <w:rPr>
                <w:rFonts w:eastAsia="游明朝"/>
                <w:bCs/>
                <w:sz w:val="20"/>
                <w:lang w:eastAsia="en-US"/>
              </w:rPr>
              <w:t>Initial access, channel access. Scheduling/HARQ, and mobility including connected/inactive/idle mode operation and radio-link monitoring/failure</w:t>
            </w:r>
          </w:p>
          <w:p w14:paraId="61260C7B" w14:textId="77777777" w:rsidR="009C493A" w:rsidRPr="009C493A" w:rsidRDefault="009C493A" w:rsidP="009C493A">
            <w:pPr>
              <w:numPr>
                <w:ilvl w:val="1"/>
                <w:numId w:val="41"/>
              </w:numPr>
              <w:snapToGrid w:val="0"/>
              <w:spacing w:after="0"/>
              <w:rPr>
                <w:rFonts w:eastAsia="游明朝"/>
                <w:bCs/>
                <w:sz w:val="20"/>
                <w:lang w:val="en-US" w:eastAsia="en-US"/>
              </w:rPr>
            </w:pPr>
            <w:r w:rsidRPr="009C493A">
              <w:rPr>
                <w:rFonts w:eastAsia="游明朝"/>
                <w:bCs/>
                <w:sz w:val="20"/>
                <w:lang w:val="en-US" w:eastAsia="en-US"/>
              </w:rPr>
              <w:t xml:space="preserve">Coexistence methods within NR-based and between NR-based operation in unlicensed and LTE-based LAA and with other incumbent RATs in accordance with regulatory requirements in e.g., 5GHz, 6GHz bands </w:t>
            </w:r>
          </w:p>
          <w:p w14:paraId="0BB9BCE1" w14:textId="77777777" w:rsidR="009C493A" w:rsidRPr="009C493A" w:rsidRDefault="009C493A" w:rsidP="009C493A">
            <w:pPr>
              <w:numPr>
                <w:ilvl w:val="2"/>
                <w:numId w:val="41"/>
              </w:numPr>
              <w:snapToGrid w:val="0"/>
              <w:spacing w:after="0"/>
              <w:rPr>
                <w:rFonts w:eastAsia="游明朝"/>
                <w:bCs/>
                <w:sz w:val="20"/>
                <w:lang w:val="en-US" w:eastAsia="en-US"/>
              </w:rPr>
            </w:pPr>
            <w:r w:rsidRPr="009C493A">
              <w:rPr>
                <w:rFonts w:eastAsia="游明朝"/>
                <w:bCs/>
                <w:sz w:val="20"/>
                <w:lang w:val="en-US" w:eastAsia="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F8FB051" w14:textId="77777777" w:rsidR="009C493A" w:rsidRPr="009C493A" w:rsidRDefault="009C493A" w:rsidP="009C493A">
            <w:pPr>
              <w:snapToGrid w:val="0"/>
              <w:spacing w:after="0"/>
              <w:ind w:left="1440"/>
              <w:rPr>
                <w:rFonts w:eastAsia="游明朝"/>
                <w:bCs/>
                <w:sz w:val="20"/>
                <w:lang w:val="en-US" w:eastAsia="en-US"/>
              </w:rPr>
            </w:pPr>
          </w:p>
          <w:p w14:paraId="766C168C" w14:textId="77777777" w:rsidR="009C493A" w:rsidRPr="009C493A" w:rsidRDefault="009C493A" w:rsidP="009C493A">
            <w:pPr>
              <w:snapToGrid w:val="0"/>
              <w:spacing w:after="0"/>
              <w:ind w:right="1035"/>
              <w:jc w:val="both"/>
              <w:rPr>
                <w:rFonts w:eastAsia="游明朝"/>
                <w:sz w:val="20"/>
                <w:lang w:val="en-US" w:eastAsia="en-US"/>
              </w:rPr>
            </w:pPr>
            <w:r w:rsidRPr="009C493A">
              <w:rPr>
                <w:rFonts w:eastAsia="游明朝"/>
                <w:sz w:val="20"/>
                <w:lang w:val="en-US" w:eastAsia="en-US"/>
              </w:rPr>
              <w:t xml:space="preserve">The above study will address the following architectural scenarios (RAN2): </w:t>
            </w:r>
          </w:p>
          <w:p w14:paraId="2BA9F445" w14:textId="77777777" w:rsidR="009C493A" w:rsidRPr="009C493A" w:rsidRDefault="009C493A" w:rsidP="009C493A">
            <w:pPr>
              <w:numPr>
                <w:ilvl w:val="1"/>
                <w:numId w:val="41"/>
              </w:numPr>
              <w:snapToGrid w:val="0"/>
              <w:spacing w:after="0"/>
              <w:ind w:right="1035"/>
              <w:jc w:val="both"/>
              <w:rPr>
                <w:rFonts w:eastAsia="游明朝"/>
                <w:sz w:val="20"/>
                <w:lang w:val="en-US" w:eastAsia="en-US"/>
              </w:rPr>
            </w:pPr>
            <w:r w:rsidRPr="009C493A">
              <w:rPr>
                <w:rFonts w:eastAsia="游明朝"/>
                <w:sz w:val="20"/>
                <w:lang w:val="en-US" w:eastAsia="en-US"/>
              </w:rPr>
              <w:t>An NR-based LAA cell(s) connects with an LTE or NR anchor cell operating in licensed spectrum</w:t>
            </w:r>
          </w:p>
          <w:p w14:paraId="320CB4D6" w14:textId="77777777" w:rsidR="009C493A" w:rsidRPr="009C493A" w:rsidRDefault="009C493A" w:rsidP="009C493A">
            <w:pPr>
              <w:numPr>
                <w:ilvl w:val="2"/>
                <w:numId w:val="41"/>
              </w:numPr>
              <w:snapToGrid w:val="0"/>
              <w:spacing w:after="0"/>
              <w:ind w:right="1035"/>
              <w:jc w:val="both"/>
              <w:rPr>
                <w:rFonts w:eastAsia="游明朝"/>
                <w:sz w:val="20"/>
                <w:lang w:val="en-US" w:eastAsia="en-US"/>
              </w:rPr>
            </w:pPr>
            <w:r w:rsidRPr="009C493A">
              <w:rPr>
                <w:rFonts w:eastAsia="游明朝"/>
                <w:sz w:val="20"/>
                <w:lang w:val="en-US" w:eastAsia="en-US"/>
              </w:rPr>
              <w:t xml:space="preserve">The study assumes the techniques for linking between </w:t>
            </w:r>
            <w:proofErr w:type="spellStart"/>
            <w:r w:rsidRPr="009C493A">
              <w:rPr>
                <w:rFonts w:eastAsia="游明朝"/>
                <w:sz w:val="20"/>
                <w:lang w:val="en-US" w:eastAsia="en-US"/>
              </w:rPr>
              <w:t>Pcell</w:t>
            </w:r>
            <w:proofErr w:type="spellEnd"/>
            <w:r w:rsidRPr="009C493A">
              <w:rPr>
                <w:rFonts w:eastAsia="游明朝"/>
                <w:sz w:val="20"/>
                <w:lang w:val="en-US" w:eastAsia="en-US"/>
              </w:rPr>
              <w:t xml:space="preserve"> (LTE or NR licensed CC) and </w:t>
            </w:r>
            <w:proofErr w:type="spellStart"/>
            <w:r w:rsidRPr="009C493A">
              <w:rPr>
                <w:rFonts w:eastAsia="游明朝"/>
                <w:sz w:val="20"/>
                <w:lang w:val="en-US" w:eastAsia="en-US"/>
              </w:rPr>
              <w:t>Scell</w:t>
            </w:r>
            <w:proofErr w:type="spellEnd"/>
            <w:r w:rsidRPr="009C493A">
              <w:rPr>
                <w:rFonts w:eastAsia="游明朝"/>
                <w:sz w:val="20"/>
                <w:lang w:val="en-US" w:eastAsia="en-US"/>
              </w:rPr>
              <w:t xml:space="preserve"> (NR unlicensed CCs) according to the NR WI</w:t>
            </w:r>
          </w:p>
          <w:p w14:paraId="2C82514E" w14:textId="77777777" w:rsidR="009C493A" w:rsidRPr="009C493A" w:rsidRDefault="009C493A" w:rsidP="009C493A">
            <w:pPr>
              <w:numPr>
                <w:ilvl w:val="1"/>
                <w:numId w:val="41"/>
              </w:numPr>
              <w:snapToGrid w:val="0"/>
              <w:spacing w:after="0"/>
              <w:ind w:right="1035"/>
              <w:jc w:val="both"/>
              <w:rPr>
                <w:rFonts w:eastAsia="游明朝"/>
                <w:sz w:val="20"/>
                <w:lang w:val="en-US" w:eastAsia="en-US"/>
              </w:rPr>
            </w:pPr>
            <w:r w:rsidRPr="009C493A">
              <w:rPr>
                <w:rFonts w:eastAsia="游明朝"/>
                <w:sz w:val="20"/>
                <w:lang w:val="en-US" w:eastAsia="en-US"/>
              </w:rPr>
              <w:t xml:space="preserve">An NR-based cell operating standalone in unlicensed spectrum, connected to a 5G-CN network, e.g., for private network deployments; </w:t>
            </w:r>
          </w:p>
          <w:p w14:paraId="1E75F5D4" w14:textId="77777777" w:rsidR="009C493A" w:rsidRPr="009C493A" w:rsidRDefault="009C493A" w:rsidP="009C493A">
            <w:pPr>
              <w:numPr>
                <w:ilvl w:val="1"/>
                <w:numId w:val="41"/>
              </w:numPr>
              <w:snapToGrid w:val="0"/>
              <w:spacing w:after="0"/>
              <w:ind w:right="1035"/>
              <w:jc w:val="both"/>
              <w:rPr>
                <w:rFonts w:eastAsia="游明朝"/>
                <w:sz w:val="20"/>
                <w:lang w:val="en-US" w:eastAsia="en-US"/>
              </w:rPr>
            </w:pPr>
            <w:r w:rsidRPr="009C493A">
              <w:rPr>
                <w:rFonts w:eastAsia="游明朝"/>
                <w:sz w:val="20"/>
                <w:lang w:val="en-US" w:eastAsia="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tc>
      </w:tr>
    </w:tbl>
    <w:p w14:paraId="628F662C" w14:textId="1CA2DC5E" w:rsidR="009C493A" w:rsidRPr="009C493A" w:rsidRDefault="009C493A" w:rsidP="009C493A">
      <w:pPr>
        <w:spacing w:beforeLines="50" w:before="120" w:afterLines="50" w:after="120"/>
        <w:jc w:val="both"/>
        <w:rPr>
          <w:rFonts w:eastAsiaTheme="minorEastAsia"/>
          <w:sz w:val="22"/>
          <w:lang w:val="en-US"/>
        </w:rPr>
      </w:pPr>
      <w:r w:rsidRPr="009C493A">
        <w:rPr>
          <w:rFonts w:eastAsiaTheme="minorEastAsia"/>
          <w:sz w:val="22"/>
          <w:lang w:val="en-US"/>
        </w:rPr>
        <w:t>According to the above SID, NR-U assumes three types of operating scenarios; i.e. SA (</w:t>
      </w:r>
      <w:proofErr w:type="spellStart"/>
      <w:r w:rsidRPr="009C493A">
        <w:rPr>
          <w:rFonts w:eastAsiaTheme="minorEastAsia"/>
          <w:sz w:val="22"/>
          <w:lang w:val="en-US"/>
        </w:rPr>
        <w:t>PCell</w:t>
      </w:r>
      <w:proofErr w:type="spellEnd"/>
      <w:r w:rsidRPr="009C493A">
        <w:rPr>
          <w:rFonts w:eastAsiaTheme="minorEastAsia"/>
          <w:sz w:val="22"/>
          <w:lang w:val="en-US"/>
        </w:rPr>
        <w:t>), DC (</w:t>
      </w:r>
      <w:proofErr w:type="spellStart"/>
      <w:r w:rsidRPr="009C493A">
        <w:rPr>
          <w:rFonts w:eastAsiaTheme="minorEastAsia"/>
          <w:sz w:val="22"/>
          <w:lang w:val="en-US"/>
        </w:rPr>
        <w:t>PSCell</w:t>
      </w:r>
      <w:proofErr w:type="spellEnd"/>
      <w:r w:rsidRPr="009C493A">
        <w:rPr>
          <w:rFonts w:eastAsiaTheme="minorEastAsia"/>
          <w:sz w:val="22"/>
          <w:lang w:val="en-US"/>
        </w:rPr>
        <w:t>), and CA (</w:t>
      </w:r>
      <w:proofErr w:type="spellStart"/>
      <w:r w:rsidRPr="009C493A">
        <w:rPr>
          <w:rFonts w:eastAsiaTheme="minorEastAsia"/>
          <w:sz w:val="22"/>
          <w:lang w:val="en-US"/>
        </w:rPr>
        <w:t>Scell</w:t>
      </w:r>
      <w:proofErr w:type="spellEnd"/>
      <w:r w:rsidRPr="009C493A">
        <w:rPr>
          <w:rFonts w:eastAsiaTheme="minorEastAsia"/>
          <w:sz w:val="22"/>
          <w:lang w:val="en-US"/>
        </w:rPr>
        <w:t xml:space="preserve">). Then, based on the scenarios, </w:t>
      </w:r>
      <w:r w:rsidR="00EF26EF">
        <w:rPr>
          <w:rFonts w:eastAsiaTheme="minorEastAsia"/>
          <w:sz w:val="22"/>
          <w:lang w:val="en-US"/>
        </w:rPr>
        <w:t>some</w:t>
      </w:r>
      <w:r w:rsidRPr="009C493A">
        <w:rPr>
          <w:rFonts w:eastAsiaTheme="minorEastAsia"/>
          <w:sz w:val="22"/>
          <w:lang w:val="en-US"/>
        </w:rPr>
        <w:t xml:space="preserve"> features have been studied in previous RAN1 meetings</w:t>
      </w:r>
      <w:r w:rsidR="00EF26EF">
        <w:rPr>
          <w:rFonts w:eastAsiaTheme="minorEastAsia"/>
          <w:sz w:val="22"/>
          <w:lang w:val="en-US"/>
        </w:rPr>
        <w:t>, for example the following</w:t>
      </w:r>
      <w:r w:rsidRPr="009C493A">
        <w:rPr>
          <w:rFonts w:eastAsiaTheme="minorEastAsia"/>
          <w:sz w:val="22"/>
          <w:lang w:val="en-US"/>
        </w:rPr>
        <w:t>.</w:t>
      </w:r>
    </w:p>
    <w:p w14:paraId="324F93D5" w14:textId="274B9080" w:rsidR="009C493A" w:rsidRDefault="009C493A" w:rsidP="009C493A">
      <w:pPr>
        <w:jc w:val="both"/>
        <w:rPr>
          <w:rFonts w:ascii="Times" w:eastAsia="Batang" w:hAnsi="Times"/>
          <w:sz w:val="22"/>
          <w:lang w:eastAsia="x-none"/>
        </w:rPr>
      </w:pPr>
      <w:r w:rsidRPr="009C493A">
        <w:rPr>
          <w:rFonts w:eastAsiaTheme="minorEastAsia" w:hint="eastAsia"/>
          <w:sz w:val="22"/>
          <w:lang w:val="en-US"/>
        </w:rPr>
        <w:t xml:space="preserve">- </w:t>
      </w:r>
      <w:r w:rsidRPr="009C493A">
        <w:rPr>
          <w:rFonts w:ascii="Times" w:eastAsia="Batang" w:hAnsi="Times"/>
          <w:sz w:val="22"/>
          <w:lang w:eastAsia="x-none"/>
        </w:rPr>
        <w:t>Downlink Feedback Information (DFI) including HARQ feedback</w:t>
      </w:r>
    </w:p>
    <w:p w14:paraId="18F356B1" w14:textId="2C0B7E4A" w:rsidR="009C493A" w:rsidRDefault="009C493A" w:rsidP="009C493A">
      <w:pPr>
        <w:jc w:val="both"/>
        <w:rPr>
          <w:rFonts w:ascii="Times" w:eastAsia="Batang" w:hAnsi="Times"/>
          <w:sz w:val="22"/>
          <w:lang w:eastAsia="x-none"/>
        </w:rPr>
      </w:pPr>
      <w:r>
        <w:rPr>
          <w:rFonts w:ascii="Times" w:eastAsia="Batang" w:hAnsi="Times"/>
          <w:sz w:val="22"/>
          <w:lang w:eastAsia="x-none"/>
        </w:rPr>
        <w:t>- Flexible resource allocation for time domain</w:t>
      </w:r>
    </w:p>
    <w:p w14:paraId="4FF8B3F3" w14:textId="235B2F05" w:rsidR="009C493A" w:rsidRDefault="009C493A" w:rsidP="009C493A">
      <w:pPr>
        <w:jc w:val="both"/>
        <w:rPr>
          <w:rFonts w:ascii="Times" w:eastAsia="Batang" w:hAnsi="Times"/>
          <w:sz w:val="22"/>
          <w:lang w:eastAsia="x-none"/>
        </w:rPr>
      </w:pPr>
      <w:r>
        <w:rPr>
          <w:rFonts w:ascii="Times" w:eastAsia="Batang" w:hAnsi="Times"/>
          <w:sz w:val="22"/>
          <w:lang w:eastAsia="x-none"/>
        </w:rPr>
        <w:t>- Retransmissions without explicit UL grant</w:t>
      </w:r>
    </w:p>
    <w:p w14:paraId="7C27A529" w14:textId="40843506" w:rsidR="009C493A" w:rsidRDefault="009C493A" w:rsidP="009C493A">
      <w:pPr>
        <w:jc w:val="both"/>
        <w:rPr>
          <w:rFonts w:ascii="Times" w:eastAsia="Batang" w:hAnsi="Times"/>
          <w:sz w:val="22"/>
          <w:lang w:eastAsia="x-none"/>
        </w:rPr>
      </w:pPr>
      <w:r>
        <w:rPr>
          <w:rFonts w:ascii="Times" w:eastAsia="Batang" w:hAnsi="Times"/>
          <w:sz w:val="22"/>
          <w:lang w:eastAsia="x-none"/>
        </w:rPr>
        <w:t>- Consecutive/non-consecutive configured grant resources</w:t>
      </w:r>
    </w:p>
    <w:p w14:paraId="2AF2FE19" w14:textId="6F8B19C6" w:rsidR="009C493A" w:rsidRDefault="009C493A" w:rsidP="009C493A">
      <w:pPr>
        <w:jc w:val="both"/>
        <w:rPr>
          <w:rFonts w:ascii="Times" w:eastAsia="Batang" w:hAnsi="Times"/>
          <w:sz w:val="22"/>
          <w:lang w:eastAsia="x-none"/>
        </w:rPr>
      </w:pPr>
      <w:r>
        <w:rPr>
          <w:rFonts w:ascii="Times" w:eastAsia="Batang" w:hAnsi="Times"/>
          <w:sz w:val="22"/>
          <w:lang w:eastAsia="x-none"/>
        </w:rPr>
        <w:t xml:space="preserve">- </w:t>
      </w:r>
      <w:r w:rsidR="00E078AB">
        <w:rPr>
          <w:rFonts w:ascii="Times" w:eastAsia="Batang" w:hAnsi="Times"/>
          <w:sz w:val="22"/>
          <w:lang w:eastAsia="x-none"/>
        </w:rPr>
        <w:t>HARQ-ACK process ID set for NR-U configured grant transmission</w:t>
      </w:r>
    </w:p>
    <w:p w14:paraId="21B68453" w14:textId="06B791E2" w:rsidR="009C493A" w:rsidRDefault="009C493A" w:rsidP="009C493A">
      <w:pPr>
        <w:jc w:val="both"/>
        <w:rPr>
          <w:rFonts w:ascii="Times" w:eastAsia="Batang" w:hAnsi="Times"/>
          <w:sz w:val="22"/>
          <w:lang w:eastAsia="x-none"/>
        </w:rPr>
      </w:pPr>
      <w:r>
        <w:rPr>
          <w:rFonts w:ascii="Times" w:eastAsia="Batang" w:hAnsi="Times"/>
          <w:sz w:val="22"/>
          <w:lang w:eastAsia="x-none"/>
        </w:rPr>
        <w:t xml:space="preserve">- </w:t>
      </w:r>
      <w:r w:rsidR="00E078AB">
        <w:rPr>
          <w:rFonts w:ascii="Times" w:eastAsia="Batang" w:hAnsi="Times"/>
          <w:sz w:val="22"/>
          <w:lang w:eastAsia="x-none"/>
        </w:rPr>
        <w:t>Retransmission on configured grant resource for PUSCH initially transmitted on grant-based/configured-grant resource</w:t>
      </w:r>
    </w:p>
    <w:p w14:paraId="4B643AE8" w14:textId="7ED8CB47" w:rsidR="00E078AB" w:rsidRDefault="00E078AB" w:rsidP="009C493A">
      <w:pPr>
        <w:jc w:val="both"/>
        <w:rPr>
          <w:rFonts w:ascii="Times" w:eastAsia="Batang" w:hAnsi="Times"/>
          <w:sz w:val="22"/>
          <w:lang w:eastAsia="x-none"/>
        </w:rPr>
      </w:pPr>
      <w:r>
        <w:rPr>
          <w:rFonts w:ascii="Times" w:eastAsia="Batang" w:hAnsi="Times"/>
          <w:sz w:val="22"/>
          <w:lang w:eastAsia="x-none"/>
        </w:rPr>
        <w:lastRenderedPageBreak/>
        <w:t>- Collision avoidance between configured-grant transmission and grant-based transmission</w:t>
      </w:r>
    </w:p>
    <w:p w14:paraId="18B55D18" w14:textId="2EECC56F" w:rsidR="009C493A" w:rsidRPr="009C493A" w:rsidRDefault="009C493A" w:rsidP="009C493A">
      <w:pPr>
        <w:spacing w:beforeLines="50" w:before="120" w:afterLines="50" w:after="120"/>
        <w:jc w:val="both"/>
        <w:rPr>
          <w:rFonts w:eastAsiaTheme="minorEastAsia"/>
          <w:sz w:val="22"/>
          <w:lang w:val="en-US"/>
        </w:rPr>
      </w:pPr>
      <w:r w:rsidRPr="009C493A">
        <w:rPr>
          <w:rFonts w:eastAsiaTheme="minorEastAsia"/>
          <w:sz w:val="22"/>
          <w:lang w:val="en-US"/>
        </w:rPr>
        <w:t>However, each does not mention which scenario the feature needs to be introduced in. In some scenarios, some features are not necessary; hence introducing the features for all scenarios should be avoided. We would like to clarify each considering scenarios and that each does not applied to the other scenarios. The following table is our understanding.</w:t>
      </w:r>
    </w:p>
    <w:p w14:paraId="00C12130" w14:textId="77777777" w:rsidR="009C493A" w:rsidRPr="009C493A" w:rsidRDefault="009C493A" w:rsidP="009C493A">
      <w:pPr>
        <w:spacing w:beforeLines="50" w:before="120" w:afterLines="50" w:after="120"/>
        <w:jc w:val="center"/>
        <w:rPr>
          <w:rFonts w:eastAsiaTheme="minorEastAsia"/>
          <w:sz w:val="22"/>
          <w:lang w:val="en-US"/>
        </w:rPr>
      </w:pPr>
      <w:r w:rsidRPr="009C493A">
        <w:rPr>
          <w:rFonts w:eastAsiaTheme="minorEastAsia"/>
          <w:sz w:val="22"/>
          <w:lang w:val="en-US"/>
        </w:rPr>
        <w:t>Table 1: Each feature assuming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05"/>
        <w:gridCol w:w="1053"/>
        <w:gridCol w:w="1054"/>
        <w:gridCol w:w="1058"/>
      </w:tblGrid>
      <w:tr w:rsidR="009C493A" w:rsidRPr="009C493A" w14:paraId="1269E186" w14:textId="77777777" w:rsidTr="00CC5FBB">
        <w:trPr>
          <w:trHeight w:val="360"/>
        </w:trPr>
        <w:tc>
          <w:tcPr>
            <w:tcW w:w="7005" w:type="dxa"/>
            <w:vMerge w:val="restart"/>
            <w:shd w:val="clear" w:color="auto" w:fill="auto"/>
            <w:noWrap/>
            <w:vAlign w:val="center"/>
            <w:hideMark/>
          </w:tcPr>
          <w:p w14:paraId="0C22DC26" w14:textId="77777777" w:rsidR="009C493A" w:rsidRPr="009C493A" w:rsidRDefault="009C493A" w:rsidP="009C493A">
            <w:pPr>
              <w:jc w:val="center"/>
              <w:rPr>
                <w:rFonts w:eastAsia="游ゴシック"/>
                <w:color w:val="000000"/>
                <w:sz w:val="22"/>
                <w:szCs w:val="22"/>
                <w:lang w:val="en-US"/>
              </w:rPr>
            </w:pPr>
            <w:r w:rsidRPr="009C493A">
              <w:rPr>
                <w:rFonts w:eastAsia="游ゴシック"/>
                <w:color w:val="000000"/>
                <w:sz w:val="22"/>
                <w:szCs w:val="22"/>
                <w:lang w:val="en-US"/>
              </w:rPr>
              <w:t>Features</w:t>
            </w:r>
          </w:p>
        </w:tc>
        <w:tc>
          <w:tcPr>
            <w:tcW w:w="3165" w:type="dxa"/>
            <w:gridSpan w:val="3"/>
            <w:shd w:val="clear" w:color="auto" w:fill="auto"/>
            <w:noWrap/>
            <w:vAlign w:val="center"/>
            <w:hideMark/>
          </w:tcPr>
          <w:p w14:paraId="306449A4" w14:textId="77777777" w:rsidR="009C493A" w:rsidRPr="009C493A" w:rsidRDefault="009C493A" w:rsidP="009C493A">
            <w:pPr>
              <w:jc w:val="center"/>
              <w:rPr>
                <w:rFonts w:eastAsia="游ゴシック"/>
                <w:color w:val="000000"/>
                <w:sz w:val="22"/>
                <w:szCs w:val="22"/>
                <w:lang w:val="en-US"/>
              </w:rPr>
            </w:pPr>
            <w:r w:rsidRPr="009C493A">
              <w:rPr>
                <w:rFonts w:eastAsia="游ゴシック"/>
                <w:color w:val="000000"/>
                <w:sz w:val="22"/>
                <w:szCs w:val="22"/>
                <w:lang w:val="en-US"/>
              </w:rPr>
              <w:t>Scenarios</w:t>
            </w:r>
          </w:p>
        </w:tc>
      </w:tr>
      <w:tr w:rsidR="009C493A" w:rsidRPr="009C493A" w14:paraId="648F0F05" w14:textId="77777777" w:rsidTr="00CC5FBB">
        <w:trPr>
          <w:trHeight w:val="360"/>
        </w:trPr>
        <w:tc>
          <w:tcPr>
            <w:tcW w:w="7005" w:type="dxa"/>
            <w:vMerge/>
            <w:vAlign w:val="center"/>
            <w:hideMark/>
          </w:tcPr>
          <w:p w14:paraId="02FD91B6" w14:textId="77777777" w:rsidR="009C493A" w:rsidRPr="009C493A" w:rsidRDefault="009C493A" w:rsidP="009C493A">
            <w:pPr>
              <w:rPr>
                <w:rFonts w:eastAsia="游ゴシック"/>
                <w:color w:val="000000"/>
                <w:sz w:val="22"/>
                <w:szCs w:val="22"/>
                <w:lang w:val="en-US"/>
              </w:rPr>
            </w:pPr>
          </w:p>
        </w:tc>
        <w:tc>
          <w:tcPr>
            <w:tcW w:w="1053" w:type="dxa"/>
            <w:shd w:val="clear" w:color="auto" w:fill="auto"/>
            <w:noWrap/>
            <w:vAlign w:val="center"/>
            <w:hideMark/>
          </w:tcPr>
          <w:p w14:paraId="54CB9B8A" w14:textId="77777777" w:rsidR="009C493A" w:rsidRPr="009C493A" w:rsidRDefault="009C493A" w:rsidP="009C493A">
            <w:pPr>
              <w:jc w:val="center"/>
              <w:rPr>
                <w:rFonts w:eastAsia="游ゴシック"/>
                <w:color w:val="000000"/>
                <w:sz w:val="22"/>
                <w:szCs w:val="22"/>
                <w:lang w:val="en-US"/>
              </w:rPr>
            </w:pPr>
            <w:r w:rsidRPr="009C493A">
              <w:rPr>
                <w:rFonts w:eastAsia="游ゴシック"/>
                <w:color w:val="000000"/>
                <w:sz w:val="22"/>
                <w:szCs w:val="22"/>
                <w:lang w:val="en-US"/>
              </w:rPr>
              <w:t>SA</w:t>
            </w:r>
          </w:p>
        </w:tc>
        <w:tc>
          <w:tcPr>
            <w:tcW w:w="1054" w:type="dxa"/>
            <w:shd w:val="clear" w:color="auto" w:fill="auto"/>
            <w:noWrap/>
            <w:vAlign w:val="center"/>
            <w:hideMark/>
          </w:tcPr>
          <w:p w14:paraId="221AE9F8" w14:textId="77777777" w:rsidR="009C493A" w:rsidRPr="009C493A" w:rsidRDefault="009C493A" w:rsidP="009C493A">
            <w:pPr>
              <w:jc w:val="center"/>
              <w:rPr>
                <w:rFonts w:eastAsia="游ゴシック"/>
                <w:color w:val="000000"/>
                <w:sz w:val="22"/>
                <w:szCs w:val="22"/>
                <w:lang w:val="en-US"/>
              </w:rPr>
            </w:pPr>
            <w:r w:rsidRPr="009C493A">
              <w:rPr>
                <w:rFonts w:eastAsia="游ゴシック"/>
                <w:color w:val="000000"/>
                <w:sz w:val="22"/>
                <w:szCs w:val="22"/>
                <w:lang w:val="en-US"/>
              </w:rPr>
              <w:t>DC</w:t>
            </w:r>
          </w:p>
        </w:tc>
        <w:tc>
          <w:tcPr>
            <w:tcW w:w="1058" w:type="dxa"/>
            <w:shd w:val="clear" w:color="auto" w:fill="auto"/>
            <w:noWrap/>
            <w:vAlign w:val="center"/>
            <w:hideMark/>
          </w:tcPr>
          <w:p w14:paraId="7D8EA64F" w14:textId="77777777" w:rsidR="009C493A" w:rsidRPr="009C493A" w:rsidRDefault="009C493A" w:rsidP="009C493A">
            <w:pPr>
              <w:jc w:val="center"/>
              <w:rPr>
                <w:rFonts w:eastAsia="游ゴシック"/>
                <w:color w:val="000000"/>
                <w:sz w:val="22"/>
                <w:szCs w:val="22"/>
                <w:lang w:val="en-US"/>
              </w:rPr>
            </w:pPr>
            <w:r w:rsidRPr="009C493A">
              <w:rPr>
                <w:rFonts w:eastAsia="游ゴシック"/>
                <w:color w:val="000000"/>
                <w:sz w:val="22"/>
                <w:szCs w:val="22"/>
                <w:lang w:val="en-US"/>
              </w:rPr>
              <w:t>CA</w:t>
            </w:r>
          </w:p>
        </w:tc>
      </w:tr>
      <w:tr w:rsidR="009C493A" w:rsidRPr="009C493A" w14:paraId="42F9498C" w14:textId="77777777" w:rsidTr="00CC5FBB">
        <w:trPr>
          <w:trHeight w:val="343"/>
        </w:trPr>
        <w:tc>
          <w:tcPr>
            <w:tcW w:w="7005" w:type="dxa"/>
            <w:shd w:val="clear" w:color="auto" w:fill="auto"/>
            <w:noWrap/>
            <w:vAlign w:val="center"/>
          </w:tcPr>
          <w:p w14:paraId="5F40296D" w14:textId="51051CFE" w:rsidR="009C493A" w:rsidRPr="009C493A" w:rsidRDefault="003E16EC" w:rsidP="009C493A">
            <w:pPr>
              <w:rPr>
                <w:rFonts w:eastAsia="游ゴシック"/>
                <w:color w:val="000000"/>
                <w:sz w:val="22"/>
                <w:szCs w:val="22"/>
                <w:lang w:val="en-US"/>
              </w:rPr>
            </w:pPr>
            <w:r>
              <w:rPr>
                <w:rFonts w:eastAsia="游ゴシック" w:hint="eastAsia"/>
                <w:color w:val="000000"/>
                <w:sz w:val="22"/>
                <w:szCs w:val="22"/>
                <w:lang w:val="en-US"/>
              </w:rPr>
              <w:t>DFI including HARQ feedback</w:t>
            </w:r>
          </w:p>
        </w:tc>
        <w:tc>
          <w:tcPr>
            <w:tcW w:w="1053" w:type="dxa"/>
            <w:shd w:val="clear" w:color="auto" w:fill="auto"/>
            <w:noWrap/>
            <w:vAlign w:val="center"/>
          </w:tcPr>
          <w:p w14:paraId="3B82290B" w14:textId="13691CC5" w:rsidR="009C493A" w:rsidRPr="009C493A" w:rsidRDefault="003E16EC" w:rsidP="009C493A">
            <w:pPr>
              <w:jc w:val="center"/>
              <w:rPr>
                <w:rFonts w:eastAsia="游ゴシック"/>
                <w:color w:val="000000"/>
                <w:sz w:val="22"/>
                <w:szCs w:val="22"/>
                <w:lang w:val="en-US"/>
              </w:rPr>
            </w:pPr>
            <w:r>
              <w:rPr>
                <w:rFonts w:eastAsia="游ゴシック"/>
                <w:color w:val="000000"/>
                <w:sz w:val="22"/>
                <w:szCs w:val="22"/>
                <w:lang w:val="en-US"/>
              </w:rPr>
              <w:t>○</w:t>
            </w:r>
          </w:p>
        </w:tc>
        <w:tc>
          <w:tcPr>
            <w:tcW w:w="1054" w:type="dxa"/>
            <w:shd w:val="clear" w:color="auto" w:fill="auto"/>
            <w:noWrap/>
            <w:vAlign w:val="center"/>
          </w:tcPr>
          <w:p w14:paraId="0B6D5ACC" w14:textId="10FDE110" w:rsidR="009C493A" w:rsidRPr="009C493A" w:rsidRDefault="003E16EC" w:rsidP="009C493A">
            <w:pPr>
              <w:jc w:val="center"/>
              <w:rPr>
                <w:rFonts w:eastAsia="游ゴシック"/>
                <w:color w:val="000000"/>
                <w:sz w:val="22"/>
                <w:szCs w:val="22"/>
                <w:lang w:val="en-US"/>
              </w:rPr>
            </w:pPr>
            <w:r>
              <w:rPr>
                <w:rFonts w:eastAsia="游ゴシック"/>
                <w:color w:val="000000"/>
                <w:sz w:val="22"/>
                <w:szCs w:val="22"/>
                <w:lang w:val="en-US"/>
              </w:rPr>
              <w:t>○</w:t>
            </w:r>
          </w:p>
        </w:tc>
        <w:tc>
          <w:tcPr>
            <w:tcW w:w="1058" w:type="dxa"/>
            <w:shd w:val="clear" w:color="auto" w:fill="auto"/>
            <w:noWrap/>
            <w:vAlign w:val="center"/>
          </w:tcPr>
          <w:p w14:paraId="7D4108BE" w14:textId="00AAC5B9" w:rsidR="009C493A" w:rsidRPr="009C493A" w:rsidRDefault="003E16EC" w:rsidP="009C493A">
            <w:pPr>
              <w:jc w:val="center"/>
              <w:rPr>
                <w:rFonts w:eastAsia="游ゴシック"/>
                <w:color w:val="000000"/>
                <w:sz w:val="22"/>
                <w:szCs w:val="22"/>
                <w:lang w:val="en-US"/>
              </w:rPr>
            </w:pPr>
            <w:r>
              <w:rPr>
                <w:rFonts w:eastAsia="游ゴシック"/>
                <w:color w:val="000000"/>
                <w:sz w:val="22"/>
                <w:szCs w:val="22"/>
                <w:lang w:val="en-US"/>
              </w:rPr>
              <w:t>○</w:t>
            </w:r>
          </w:p>
        </w:tc>
      </w:tr>
      <w:tr w:rsidR="009C493A" w:rsidRPr="009C493A" w14:paraId="5600A46A" w14:textId="77777777" w:rsidTr="00CC5FBB">
        <w:trPr>
          <w:trHeight w:val="343"/>
        </w:trPr>
        <w:tc>
          <w:tcPr>
            <w:tcW w:w="7005" w:type="dxa"/>
            <w:shd w:val="clear" w:color="auto" w:fill="auto"/>
            <w:noWrap/>
            <w:vAlign w:val="center"/>
          </w:tcPr>
          <w:p w14:paraId="708768AE" w14:textId="2BBDC3B3" w:rsidR="009C493A" w:rsidRPr="009C493A" w:rsidRDefault="003E16EC" w:rsidP="009C493A">
            <w:pPr>
              <w:rPr>
                <w:rFonts w:eastAsia="游ゴシック"/>
                <w:color w:val="000000"/>
                <w:sz w:val="22"/>
                <w:szCs w:val="22"/>
                <w:lang w:val="en-US"/>
              </w:rPr>
            </w:pPr>
            <w:r>
              <w:rPr>
                <w:rFonts w:ascii="Times" w:eastAsia="Batang" w:hAnsi="Times"/>
                <w:sz w:val="22"/>
                <w:lang w:eastAsia="x-none"/>
              </w:rPr>
              <w:t>Flexible resource allocation for time domain</w:t>
            </w:r>
          </w:p>
        </w:tc>
        <w:tc>
          <w:tcPr>
            <w:tcW w:w="1053" w:type="dxa"/>
            <w:shd w:val="clear" w:color="auto" w:fill="auto"/>
            <w:noWrap/>
            <w:vAlign w:val="center"/>
          </w:tcPr>
          <w:p w14:paraId="15C7DFD6" w14:textId="3C05A30A" w:rsidR="009C493A" w:rsidRPr="009C493A" w:rsidRDefault="003E16EC" w:rsidP="009C493A">
            <w:pPr>
              <w:jc w:val="center"/>
              <w:rPr>
                <w:rFonts w:eastAsia="游ゴシック"/>
                <w:color w:val="000000"/>
                <w:sz w:val="22"/>
                <w:szCs w:val="22"/>
                <w:lang w:val="en-US"/>
              </w:rPr>
            </w:pPr>
            <w:r>
              <w:rPr>
                <w:rFonts w:eastAsia="游ゴシック"/>
                <w:color w:val="000000"/>
                <w:sz w:val="22"/>
                <w:szCs w:val="22"/>
                <w:lang w:val="en-US"/>
              </w:rPr>
              <w:t>○</w:t>
            </w:r>
          </w:p>
        </w:tc>
        <w:tc>
          <w:tcPr>
            <w:tcW w:w="1054" w:type="dxa"/>
            <w:shd w:val="clear" w:color="auto" w:fill="auto"/>
            <w:noWrap/>
            <w:vAlign w:val="center"/>
          </w:tcPr>
          <w:p w14:paraId="2FE2DBB3" w14:textId="3509D061" w:rsidR="009C493A" w:rsidRPr="009C493A" w:rsidRDefault="003E16EC" w:rsidP="009C493A">
            <w:pPr>
              <w:jc w:val="center"/>
              <w:rPr>
                <w:rFonts w:eastAsia="游ゴシック"/>
                <w:color w:val="000000"/>
                <w:sz w:val="22"/>
                <w:szCs w:val="22"/>
                <w:lang w:val="en-US"/>
              </w:rPr>
            </w:pPr>
            <w:r>
              <w:rPr>
                <w:rFonts w:eastAsia="游ゴシック"/>
                <w:color w:val="000000"/>
                <w:sz w:val="22"/>
                <w:szCs w:val="22"/>
                <w:lang w:val="en-US"/>
              </w:rPr>
              <w:t>○</w:t>
            </w:r>
            <w:r w:rsidR="00825993">
              <w:rPr>
                <w:rFonts w:eastAsia="游ゴシック"/>
                <w:color w:val="000000"/>
                <w:sz w:val="22"/>
                <w:szCs w:val="22"/>
                <w:lang w:val="en-US"/>
              </w:rPr>
              <w:t>/-</w:t>
            </w:r>
          </w:p>
        </w:tc>
        <w:tc>
          <w:tcPr>
            <w:tcW w:w="1058" w:type="dxa"/>
            <w:shd w:val="clear" w:color="auto" w:fill="auto"/>
            <w:noWrap/>
            <w:vAlign w:val="center"/>
          </w:tcPr>
          <w:p w14:paraId="2D133C64" w14:textId="069209F2" w:rsidR="009C493A" w:rsidRPr="009C493A" w:rsidRDefault="00232516" w:rsidP="009C493A">
            <w:pPr>
              <w:jc w:val="center"/>
              <w:rPr>
                <w:rFonts w:eastAsia="游ゴシック"/>
                <w:color w:val="000000"/>
                <w:sz w:val="22"/>
                <w:szCs w:val="22"/>
                <w:lang w:val="en-US"/>
              </w:rPr>
            </w:pPr>
            <w:r>
              <w:rPr>
                <w:rFonts w:eastAsia="游ゴシック"/>
                <w:color w:val="000000"/>
                <w:sz w:val="22"/>
                <w:szCs w:val="22"/>
                <w:lang w:val="en-US"/>
              </w:rPr>
              <w:t>-</w:t>
            </w:r>
          </w:p>
        </w:tc>
      </w:tr>
      <w:tr w:rsidR="003E16EC" w:rsidRPr="009C493A" w14:paraId="0185EBE7" w14:textId="77777777" w:rsidTr="00CC5FBB">
        <w:trPr>
          <w:trHeight w:val="343"/>
        </w:trPr>
        <w:tc>
          <w:tcPr>
            <w:tcW w:w="7005" w:type="dxa"/>
            <w:shd w:val="clear" w:color="auto" w:fill="auto"/>
            <w:noWrap/>
            <w:vAlign w:val="center"/>
          </w:tcPr>
          <w:p w14:paraId="71B05969" w14:textId="097C1AB4" w:rsidR="003E16EC" w:rsidRPr="009C493A" w:rsidRDefault="003E16EC" w:rsidP="003E16EC">
            <w:pPr>
              <w:rPr>
                <w:rFonts w:eastAsia="游ゴシック"/>
                <w:color w:val="000000"/>
                <w:sz w:val="22"/>
                <w:szCs w:val="22"/>
                <w:lang w:val="en-US"/>
              </w:rPr>
            </w:pPr>
            <w:r>
              <w:rPr>
                <w:rFonts w:ascii="Times" w:eastAsia="Batang" w:hAnsi="Times"/>
                <w:sz w:val="22"/>
                <w:lang w:eastAsia="x-none"/>
              </w:rPr>
              <w:t>Retransmissions without explicit UL grant</w:t>
            </w:r>
          </w:p>
        </w:tc>
        <w:tc>
          <w:tcPr>
            <w:tcW w:w="1053" w:type="dxa"/>
            <w:shd w:val="clear" w:color="auto" w:fill="auto"/>
            <w:noWrap/>
            <w:vAlign w:val="center"/>
          </w:tcPr>
          <w:p w14:paraId="1563085C" w14:textId="60A9FE8F" w:rsidR="003E16EC" w:rsidRPr="009C493A" w:rsidRDefault="003E16EC" w:rsidP="003E16EC">
            <w:pPr>
              <w:jc w:val="center"/>
              <w:rPr>
                <w:rFonts w:eastAsia="游ゴシック"/>
                <w:color w:val="000000"/>
                <w:sz w:val="22"/>
                <w:szCs w:val="22"/>
                <w:lang w:val="en-US"/>
              </w:rPr>
            </w:pPr>
            <w:r>
              <w:rPr>
                <w:rFonts w:eastAsia="游ゴシック"/>
                <w:color w:val="000000"/>
                <w:sz w:val="22"/>
                <w:szCs w:val="22"/>
                <w:lang w:val="en-US"/>
              </w:rPr>
              <w:t>○</w:t>
            </w:r>
          </w:p>
        </w:tc>
        <w:tc>
          <w:tcPr>
            <w:tcW w:w="1054" w:type="dxa"/>
            <w:shd w:val="clear" w:color="auto" w:fill="auto"/>
            <w:noWrap/>
            <w:vAlign w:val="center"/>
          </w:tcPr>
          <w:p w14:paraId="1344649A" w14:textId="7497A05E" w:rsidR="003E16EC" w:rsidRPr="009C493A" w:rsidRDefault="003E16EC" w:rsidP="003E16EC">
            <w:pPr>
              <w:jc w:val="center"/>
              <w:rPr>
                <w:rFonts w:ascii="游ゴシック" w:eastAsia="游ゴシック" w:hAnsi="游ゴシック" w:cs="ＭＳ Ｐゴシック"/>
                <w:color w:val="000000"/>
                <w:sz w:val="22"/>
                <w:szCs w:val="22"/>
                <w:lang w:val="en-US"/>
              </w:rPr>
            </w:pPr>
            <w:r>
              <w:rPr>
                <w:rFonts w:eastAsia="游ゴシック"/>
                <w:color w:val="000000"/>
                <w:sz w:val="22"/>
                <w:szCs w:val="22"/>
                <w:lang w:val="en-US"/>
              </w:rPr>
              <w:t>○</w:t>
            </w:r>
          </w:p>
        </w:tc>
        <w:tc>
          <w:tcPr>
            <w:tcW w:w="1058" w:type="dxa"/>
            <w:shd w:val="clear" w:color="auto" w:fill="auto"/>
            <w:noWrap/>
            <w:vAlign w:val="center"/>
          </w:tcPr>
          <w:p w14:paraId="41D41DBE" w14:textId="77F02FFB" w:rsidR="003E16EC" w:rsidRPr="009C493A" w:rsidRDefault="003E16EC" w:rsidP="003E16EC">
            <w:pPr>
              <w:jc w:val="center"/>
              <w:rPr>
                <w:rFonts w:eastAsia="游ゴシック"/>
                <w:color w:val="000000"/>
                <w:sz w:val="22"/>
                <w:szCs w:val="22"/>
                <w:lang w:val="en-US"/>
              </w:rPr>
            </w:pPr>
            <w:r>
              <w:rPr>
                <w:rFonts w:eastAsia="游ゴシック"/>
                <w:color w:val="000000"/>
                <w:sz w:val="22"/>
                <w:szCs w:val="22"/>
                <w:lang w:val="en-US"/>
              </w:rPr>
              <w:t>○</w:t>
            </w:r>
          </w:p>
        </w:tc>
      </w:tr>
      <w:tr w:rsidR="003E16EC" w:rsidRPr="009C493A" w14:paraId="45A7C8DD" w14:textId="77777777" w:rsidTr="00CC5FBB">
        <w:trPr>
          <w:trHeight w:val="343"/>
        </w:trPr>
        <w:tc>
          <w:tcPr>
            <w:tcW w:w="7005" w:type="dxa"/>
            <w:shd w:val="clear" w:color="auto" w:fill="auto"/>
            <w:noWrap/>
            <w:vAlign w:val="center"/>
          </w:tcPr>
          <w:p w14:paraId="09B7A349" w14:textId="7FEF6B6F" w:rsidR="003E16EC" w:rsidRPr="009C493A" w:rsidRDefault="00825993" w:rsidP="003E16EC">
            <w:pPr>
              <w:rPr>
                <w:rFonts w:eastAsia="游ゴシック"/>
                <w:color w:val="000000"/>
                <w:sz w:val="22"/>
                <w:szCs w:val="22"/>
                <w:lang w:val="en-US"/>
              </w:rPr>
            </w:pPr>
            <w:r>
              <w:rPr>
                <w:rFonts w:ascii="Times" w:eastAsia="Batang" w:hAnsi="Times"/>
                <w:sz w:val="22"/>
                <w:lang w:eastAsia="x-none"/>
              </w:rPr>
              <w:t>N</w:t>
            </w:r>
            <w:r w:rsidR="003E16EC">
              <w:rPr>
                <w:rFonts w:ascii="Times" w:eastAsia="Batang" w:hAnsi="Times"/>
                <w:sz w:val="22"/>
                <w:lang w:eastAsia="x-none"/>
              </w:rPr>
              <w:t>on-consecutive configured grant resources</w:t>
            </w:r>
          </w:p>
        </w:tc>
        <w:tc>
          <w:tcPr>
            <w:tcW w:w="1053" w:type="dxa"/>
            <w:shd w:val="clear" w:color="auto" w:fill="auto"/>
            <w:noWrap/>
            <w:vAlign w:val="center"/>
          </w:tcPr>
          <w:p w14:paraId="64FFDAFF" w14:textId="3F88F266" w:rsidR="003E16EC" w:rsidRPr="009C493A" w:rsidRDefault="003E16EC" w:rsidP="003E16EC">
            <w:pPr>
              <w:jc w:val="center"/>
              <w:rPr>
                <w:rFonts w:eastAsia="游ゴシック"/>
                <w:color w:val="000000"/>
                <w:sz w:val="22"/>
                <w:szCs w:val="22"/>
                <w:lang w:val="en-US"/>
              </w:rPr>
            </w:pPr>
            <w:r>
              <w:rPr>
                <w:rFonts w:eastAsia="游ゴシック"/>
                <w:color w:val="000000"/>
                <w:sz w:val="22"/>
                <w:szCs w:val="22"/>
                <w:lang w:val="en-US"/>
              </w:rPr>
              <w:t>○</w:t>
            </w:r>
          </w:p>
        </w:tc>
        <w:tc>
          <w:tcPr>
            <w:tcW w:w="1054" w:type="dxa"/>
            <w:shd w:val="clear" w:color="auto" w:fill="auto"/>
            <w:noWrap/>
            <w:vAlign w:val="center"/>
          </w:tcPr>
          <w:p w14:paraId="468145CF" w14:textId="5BE03AB6" w:rsidR="003E16EC" w:rsidRPr="009C493A" w:rsidRDefault="003E16EC" w:rsidP="003E16EC">
            <w:pPr>
              <w:jc w:val="center"/>
              <w:rPr>
                <w:rFonts w:ascii="ＭＳ Ｐ明朝" w:eastAsia="ＭＳ Ｐ明朝" w:hAnsi="ＭＳ Ｐ明朝" w:cs="ＭＳ Ｐゴシック"/>
                <w:color w:val="000000"/>
                <w:sz w:val="22"/>
                <w:szCs w:val="22"/>
                <w:lang w:val="en-US"/>
              </w:rPr>
            </w:pPr>
            <w:r>
              <w:rPr>
                <w:rFonts w:eastAsia="游ゴシック"/>
                <w:color w:val="000000"/>
                <w:sz w:val="22"/>
                <w:szCs w:val="22"/>
                <w:lang w:val="en-US"/>
              </w:rPr>
              <w:t>○</w:t>
            </w:r>
            <w:r w:rsidR="00825993">
              <w:rPr>
                <w:rFonts w:eastAsia="游ゴシック"/>
                <w:color w:val="000000"/>
                <w:sz w:val="22"/>
                <w:szCs w:val="22"/>
                <w:lang w:val="en-US"/>
              </w:rPr>
              <w:t>/-</w:t>
            </w:r>
          </w:p>
        </w:tc>
        <w:tc>
          <w:tcPr>
            <w:tcW w:w="1058" w:type="dxa"/>
            <w:shd w:val="clear" w:color="auto" w:fill="auto"/>
            <w:noWrap/>
            <w:vAlign w:val="center"/>
          </w:tcPr>
          <w:p w14:paraId="685FFE33" w14:textId="0DCA8E02" w:rsidR="003E16EC" w:rsidRPr="009C493A" w:rsidRDefault="00232516" w:rsidP="003E16EC">
            <w:pPr>
              <w:jc w:val="center"/>
              <w:rPr>
                <w:rFonts w:eastAsia="游ゴシック"/>
                <w:color w:val="000000"/>
                <w:sz w:val="22"/>
                <w:szCs w:val="22"/>
                <w:lang w:val="en-US"/>
              </w:rPr>
            </w:pPr>
            <w:r>
              <w:rPr>
                <w:rFonts w:eastAsia="游ゴシック"/>
                <w:color w:val="000000"/>
                <w:sz w:val="22"/>
                <w:szCs w:val="22"/>
                <w:lang w:val="en-US"/>
              </w:rPr>
              <w:t>-</w:t>
            </w:r>
          </w:p>
        </w:tc>
      </w:tr>
      <w:tr w:rsidR="003E16EC" w:rsidRPr="009C493A" w14:paraId="5BBD766A" w14:textId="77777777" w:rsidTr="00CC5FBB">
        <w:trPr>
          <w:trHeight w:val="343"/>
        </w:trPr>
        <w:tc>
          <w:tcPr>
            <w:tcW w:w="7005" w:type="dxa"/>
            <w:shd w:val="clear" w:color="auto" w:fill="auto"/>
            <w:noWrap/>
            <w:vAlign w:val="center"/>
          </w:tcPr>
          <w:p w14:paraId="50D1940F" w14:textId="6934A9A5" w:rsidR="003E16EC" w:rsidRPr="009C493A" w:rsidRDefault="003E16EC" w:rsidP="003E16EC">
            <w:pPr>
              <w:rPr>
                <w:rFonts w:eastAsia="游ゴシック"/>
                <w:color w:val="000000"/>
                <w:sz w:val="22"/>
                <w:szCs w:val="22"/>
                <w:lang w:val="en-US"/>
              </w:rPr>
            </w:pPr>
            <w:r>
              <w:rPr>
                <w:rFonts w:ascii="Times" w:eastAsia="Batang" w:hAnsi="Times"/>
                <w:sz w:val="22"/>
                <w:lang w:eastAsia="x-none"/>
              </w:rPr>
              <w:t>HARQ-ACK process ID set for NR-U configured grant transmission</w:t>
            </w:r>
          </w:p>
        </w:tc>
        <w:tc>
          <w:tcPr>
            <w:tcW w:w="1053" w:type="dxa"/>
            <w:shd w:val="clear" w:color="auto" w:fill="auto"/>
            <w:noWrap/>
            <w:vAlign w:val="center"/>
          </w:tcPr>
          <w:p w14:paraId="1329F21F" w14:textId="64C589D9" w:rsidR="003E16EC" w:rsidRPr="009C493A" w:rsidRDefault="003E16EC" w:rsidP="003E16EC">
            <w:pPr>
              <w:jc w:val="center"/>
              <w:rPr>
                <w:rFonts w:eastAsia="游ゴシック"/>
                <w:color w:val="000000"/>
                <w:sz w:val="22"/>
                <w:szCs w:val="22"/>
                <w:lang w:val="en-US"/>
              </w:rPr>
            </w:pPr>
            <w:r>
              <w:rPr>
                <w:rFonts w:eastAsia="游ゴシック"/>
                <w:color w:val="000000"/>
                <w:sz w:val="22"/>
                <w:szCs w:val="22"/>
                <w:lang w:val="en-US"/>
              </w:rPr>
              <w:t>○</w:t>
            </w:r>
          </w:p>
        </w:tc>
        <w:tc>
          <w:tcPr>
            <w:tcW w:w="1054" w:type="dxa"/>
            <w:shd w:val="clear" w:color="auto" w:fill="auto"/>
            <w:noWrap/>
            <w:vAlign w:val="center"/>
          </w:tcPr>
          <w:p w14:paraId="4B3A4D9A" w14:textId="09464864" w:rsidR="003E16EC" w:rsidRPr="009C493A" w:rsidRDefault="003E16EC" w:rsidP="003E16EC">
            <w:pPr>
              <w:jc w:val="center"/>
              <w:rPr>
                <w:rFonts w:ascii="游ゴシック" w:eastAsia="游ゴシック" w:hAnsi="游ゴシック" w:cs="ＭＳ Ｐゴシック"/>
                <w:color w:val="000000"/>
                <w:sz w:val="22"/>
                <w:szCs w:val="22"/>
                <w:lang w:val="en-US"/>
              </w:rPr>
            </w:pPr>
            <w:r>
              <w:rPr>
                <w:rFonts w:eastAsia="游ゴシック"/>
                <w:color w:val="000000"/>
                <w:sz w:val="22"/>
                <w:szCs w:val="22"/>
                <w:lang w:val="en-US"/>
              </w:rPr>
              <w:t>○</w:t>
            </w:r>
          </w:p>
        </w:tc>
        <w:tc>
          <w:tcPr>
            <w:tcW w:w="1058" w:type="dxa"/>
            <w:shd w:val="clear" w:color="auto" w:fill="auto"/>
            <w:noWrap/>
            <w:vAlign w:val="center"/>
          </w:tcPr>
          <w:p w14:paraId="16BFEB95" w14:textId="6853CFC9" w:rsidR="003E16EC" w:rsidRPr="009C493A" w:rsidRDefault="003E16EC" w:rsidP="003E16EC">
            <w:pPr>
              <w:jc w:val="center"/>
              <w:rPr>
                <w:rFonts w:eastAsia="游ゴシック"/>
                <w:color w:val="000000"/>
                <w:sz w:val="22"/>
                <w:szCs w:val="22"/>
                <w:lang w:val="en-US"/>
              </w:rPr>
            </w:pPr>
            <w:r>
              <w:rPr>
                <w:rFonts w:eastAsia="游ゴシック"/>
                <w:color w:val="000000"/>
                <w:sz w:val="22"/>
                <w:szCs w:val="22"/>
                <w:lang w:val="en-US"/>
              </w:rPr>
              <w:t>○</w:t>
            </w:r>
          </w:p>
        </w:tc>
      </w:tr>
      <w:tr w:rsidR="003E16EC" w:rsidRPr="009C493A" w14:paraId="27B0EBC3" w14:textId="77777777" w:rsidTr="00CC5FBB">
        <w:trPr>
          <w:trHeight w:val="343"/>
        </w:trPr>
        <w:tc>
          <w:tcPr>
            <w:tcW w:w="7005" w:type="dxa"/>
            <w:shd w:val="clear" w:color="auto" w:fill="auto"/>
            <w:noWrap/>
            <w:vAlign w:val="center"/>
          </w:tcPr>
          <w:p w14:paraId="0E749EB2" w14:textId="5BFCCC3F" w:rsidR="003E16EC" w:rsidRPr="009C493A" w:rsidRDefault="003E16EC" w:rsidP="003E16EC">
            <w:pPr>
              <w:rPr>
                <w:rFonts w:eastAsia="游ゴシック"/>
                <w:color w:val="000000"/>
                <w:sz w:val="22"/>
                <w:szCs w:val="22"/>
                <w:lang w:val="en-US"/>
              </w:rPr>
            </w:pPr>
            <w:r>
              <w:rPr>
                <w:rFonts w:ascii="Times" w:eastAsia="Batang" w:hAnsi="Times"/>
                <w:sz w:val="22"/>
                <w:lang w:eastAsia="x-none"/>
              </w:rPr>
              <w:t>Retransmission on configured grant resource for PUSCH initially transmitted on grant-based/configured-grant resource</w:t>
            </w:r>
          </w:p>
        </w:tc>
        <w:tc>
          <w:tcPr>
            <w:tcW w:w="1053" w:type="dxa"/>
            <w:shd w:val="clear" w:color="auto" w:fill="auto"/>
            <w:noWrap/>
            <w:vAlign w:val="center"/>
          </w:tcPr>
          <w:p w14:paraId="2AF8D281" w14:textId="6AFDF265" w:rsidR="003E16EC" w:rsidRPr="009C493A" w:rsidRDefault="003E16EC" w:rsidP="003E16EC">
            <w:pPr>
              <w:jc w:val="center"/>
              <w:rPr>
                <w:rFonts w:eastAsia="游ゴシック"/>
                <w:color w:val="000000"/>
                <w:sz w:val="22"/>
                <w:szCs w:val="22"/>
                <w:lang w:val="en-US"/>
              </w:rPr>
            </w:pPr>
            <w:r>
              <w:rPr>
                <w:rFonts w:eastAsia="游ゴシック"/>
                <w:color w:val="000000"/>
                <w:sz w:val="22"/>
                <w:szCs w:val="22"/>
                <w:lang w:val="en-US"/>
              </w:rPr>
              <w:t>○</w:t>
            </w:r>
          </w:p>
        </w:tc>
        <w:tc>
          <w:tcPr>
            <w:tcW w:w="1054" w:type="dxa"/>
            <w:shd w:val="clear" w:color="auto" w:fill="auto"/>
            <w:noWrap/>
            <w:vAlign w:val="center"/>
          </w:tcPr>
          <w:p w14:paraId="26B06F6A" w14:textId="6EA6B942" w:rsidR="003E16EC" w:rsidRPr="009C493A" w:rsidRDefault="003E16EC" w:rsidP="003E16EC">
            <w:pPr>
              <w:jc w:val="center"/>
              <w:rPr>
                <w:rFonts w:ascii="游ゴシック" w:eastAsia="游ゴシック" w:hAnsi="游ゴシック" w:cs="ＭＳ Ｐゴシック"/>
                <w:color w:val="000000"/>
                <w:sz w:val="22"/>
                <w:szCs w:val="22"/>
                <w:lang w:val="en-US"/>
              </w:rPr>
            </w:pPr>
            <w:r>
              <w:rPr>
                <w:rFonts w:eastAsia="游ゴシック"/>
                <w:color w:val="000000"/>
                <w:sz w:val="22"/>
                <w:szCs w:val="22"/>
                <w:lang w:val="en-US"/>
              </w:rPr>
              <w:t>○</w:t>
            </w:r>
          </w:p>
        </w:tc>
        <w:tc>
          <w:tcPr>
            <w:tcW w:w="1058" w:type="dxa"/>
            <w:shd w:val="clear" w:color="auto" w:fill="auto"/>
            <w:noWrap/>
            <w:vAlign w:val="center"/>
          </w:tcPr>
          <w:p w14:paraId="59AEF319" w14:textId="6E26AEE0" w:rsidR="003E16EC" w:rsidRPr="009C493A" w:rsidRDefault="003E16EC" w:rsidP="003E16EC">
            <w:pPr>
              <w:jc w:val="center"/>
              <w:rPr>
                <w:rFonts w:ascii="游ゴシック" w:eastAsia="游ゴシック" w:hAnsi="游ゴシック" w:cs="ＭＳ Ｐゴシック"/>
                <w:color w:val="000000"/>
                <w:sz w:val="22"/>
                <w:szCs w:val="22"/>
                <w:lang w:val="en-US"/>
              </w:rPr>
            </w:pPr>
            <w:r>
              <w:rPr>
                <w:rFonts w:eastAsia="游ゴシック"/>
                <w:color w:val="000000"/>
                <w:sz w:val="22"/>
                <w:szCs w:val="22"/>
                <w:lang w:val="en-US"/>
              </w:rPr>
              <w:t>○</w:t>
            </w:r>
          </w:p>
        </w:tc>
      </w:tr>
      <w:tr w:rsidR="003E16EC" w:rsidRPr="009C493A" w14:paraId="14506C1B" w14:textId="77777777" w:rsidTr="00CC5FBB">
        <w:trPr>
          <w:trHeight w:val="343"/>
        </w:trPr>
        <w:tc>
          <w:tcPr>
            <w:tcW w:w="7005" w:type="dxa"/>
            <w:shd w:val="clear" w:color="auto" w:fill="auto"/>
            <w:noWrap/>
            <w:vAlign w:val="center"/>
          </w:tcPr>
          <w:p w14:paraId="1D32A149" w14:textId="0C021CA0" w:rsidR="003E16EC" w:rsidRDefault="003E16EC" w:rsidP="003E16EC">
            <w:pPr>
              <w:rPr>
                <w:rFonts w:ascii="Times" w:eastAsia="Batang" w:hAnsi="Times"/>
                <w:sz w:val="22"/>
                <w:lang w:eastAsia="x-none"/>
              </w:rPr>
            </w:pPr>
            <w:r>
              <w:rPr>
                <w:rFonts w:ascii="Times" w:eastAsia="Batang" w:hAnsi="Times"/>
                <w:sz w:val="22"/>
                <w:lang w:eastAsia="x-none"/>
              </w:rPr>
              <w:t>Collision avoidance between configured-grant transmission and grant-based transmission</w:t>
            </w:r>
          </w:p>
        </w:tc>
        <w:tc>
          <w:tcPr>
            <w:tcW w:w="1053" w:type="dxa"/>
            <w:shd w:val="clear" w:color="auto" w:fill="auto"/>
            <w:noWrap/>
            <w:vAlign w:val="center"/>
          </w:tcPr>
          <w:p w14:paraId="3A6239F2" w14:textId="32BDDD70" w:rsidR="003E16EC" w:rsidRPr="009C493A" w:rsidRDefault="003E16EC" w:rsidP="003E16EC">
            <w:pPr>
              <w:jc w:val="center"/>
              <w:rPr>
                <w:rFonts w:eastAsia="游ゴシック"/>
                <w:color w:val="000000"/>
                <w:sz w:val="22"/>
                <w:szCs w:val="22"/>
                <w:lang w:val="en-US"/>
              </w:rPr>
            </w:pPr>
            <w:r>
              <w:rPr>
                <w:rFonts w:eastAsia="游ゴシック"/>
                <w:color w:val="000000"/>
                <w:sz w:val="22"/>
                <w:szCs w:val="22"/>
                <w:lang w:val="en-US"/>
              </w:rPr>
              <w:t>○</w:t>
            </w:r>
          </w:p>
        </w:tc>
        <w:tc>
          <w:tcPr>
            <w:tcW w:w="1054" w:type="dxa"/>
            <w:shd w:val="clear" w:color="auto" w:fill="auto"/>
            <w:noWrap/>
            <w:vAlign w:val="center"/>
          </w:tcPr>
          <w:p w14:paraId="6555DD3E" w14:textId="7A9240C2" w:rsidR="003E16EC" w:rsidRPr="009C493A" w:rsidRDefault="003E16EC" w:rsidP="003E16EC">
            <w:pPr>
              <w:jc w:val="center"/>
              <w:rPr>
                <w:rFonts w:ascii="游ゴシック" w:eastAsia="游ゴシック" w:hAnsi="游ゴシック" w:cs="ＭＳ Ｐゴシック"/>
                <w:color w:val="000000"/>
                <w:sz w:val="22"/>
                <w:szCs w:val="22"/>
                <w:lang w:val="en-US"/>
              </w:rPr>
            </w:pPr>
            <w:r>
              <w:rPr>
                <w:rFonts w:eastAsia="游ゴシック"/>
                <w:color w:val="000000"/>
                <w:sz w:val="22"/>
                <w:szCs w:val="22"/>
                <w:lang w:val="en-US"/>
              </w:rPr>
              <w:t>○</w:t>
            </w:r>
          </w:p>
        </w:tc>
        <w:tc>
          <w:tcPr>
            <w:tcW w:w="1058" w:type="dxa"/>
            <w:shd w:val="clear" w:color="auto" w:fill="auto"/>
            <w:noWrap/>
            <w:vAlign w:val="center"/>
          </w:tcPr>
          <w:p w14:paraId="2A1575AE" w14:textId="4CA444BA" w:rsidR="003E16EC" w:rsidRPr="009C493A" w:rsidRDefault="003E16EC" w:rsidP="003E16EC">
            <w:pPr>
              <w:jc w:val="center"/>
              <w:rPr>
                <w:rFonts w:ascii="游ゴシック" w:eastAsia="游ゴシック" w:hAnsi="游ゴシック" w:cs="ＭＳ Ｐゴシック"/>
                <w:color w:val="000000"/>
                <w:sz w:val="22"/>
                <w:szCs w:val="22"/>
                <w:lang w:val="en-US"/>
              </w:rPr>
            </w:pPr>
            <w:r>
              <w:rPr>
                <w:rFonts w:eastAsia="游ゴシック"/>
                <w:color w:val="000000"/>
                <w:sz w:val="22"/>
                <w:szCs w:val="22"/>
                <w:lang w:val="en-US"/>
              </w:rPr>
              <w:t>○</w:t>
            </w:r>
          </w:p>
        </w:tc>
      </w:tr>
    </w:tbl>
    <w:p w14:paraId="49515DF9" w14:textId="27397942" w:rsidR="009C493A" w:rsidRDefault="00EF26EF" w:rsidP="009C493A">
      <w:pPr>
        <w:spacing w:beforeLines="50" w:before="120" w:afterLines="50" w:after="120"/>
        <w:jc w:val="both"/>
        <w:rPr>
          <w:rFonts w:eastAsiaTheme="minorEastAsia"/>
          <w:sz w:val="22"/>
        </w:rPr>
      </w:pPr>
      <w:r>
        <w:rPr>
          <w:rFonts w:eastAsiaTheme="minorEastAsia"/>
          <w:sz w:val="22"/>
        </w:rPr>
        <w:t>For example, c</w:t>
      </w:r>
      <w:r w:rsidR="00825993">
        <w:rPr>
          <w:rFonts w:eastAsiaTheme="minorEastAsia"/>
          <w:sz w:val="22"/>
        </w:rPr>
        <w:t xml:space="preserve">onfigured grant is introduced to </w:t>
      </w:r>
      <w:r w:rsidR="00AC33A2">
        <w:rPr>
          <w:rFonts w:eastAsiaTheme="minorEastAsia"/>
          <w:sz w:val="22"/>
        </w:rPr>
        <w:t xml:space="preserve">provide </w:t>
      </w:r>
      <w:r w:rsidR="00825993">
        <w:rPr>
          <w:rFonts w:eastAsiaTheme="minorEastAsia"/>
          <w:sz w:val="22"/>
        </w:rPr>
        <w:t>U</w:t>
      </w:r>
      <w:r w:rsidR="00AC33A2">
        <w:rPr>
          <w:rFonts w:eastAsiaTheme="minorEastAsia"/>
          <w:sz w:val="22"/>
        </w:rPr>
        <w:t>L</w:t>
      </w:r>
      <w:r w:rsidR="00825993">
        <w:rPr>
          <w:rFonts w:eastAsiaTheme="minorEastAsia"/>
          <w:sz w:val="22"/>
        </w:rPr>
        <w:t xml:space="preserve"> transmission occasion led by the UE. </w:t>
      </w:r>
      <w:r w:rsidR="00232516">
        <w:rPr>
          <w:rFonts w:eastAsiaTheme="minorEastAsia" w:hint="eastAsia"/>
          <w:sz w:val="22"/>
        </w:rPr>
        <w:t xml:space="preserve">For flexible resource allocation in time-domain and non-consecutive configured grant resources, </w:t>
      </w:r>
      <w:r w:rsidR="00825993">
        <w:rPr>
          <w:rFonts w:eastAsiaTheme="minorEastAsia"/>
          <w:sz w:val="22"/>
        </w:rPr>
        <w:t xml:space="preserve">we think they are studied because more flexible transmission occasion led by UE is desirable </w:t>
      </w:r>
      <w:r w:rsidR="00AC33A2">
        <w:rPr>
          <w:rFonts w:eastAsiaTheme="minorEastAsia"/>
          <w:sz w:val="22"/>
        </w:rPr>
        <w:t>in NR-U considering</w:t>
      </w:r>
      <w:r w:rsidR="00825993">
        <w:rPr>
          <w:rFonts w:eastAsiaTheme="minorEastAsia"/>
          <w:sz w:val="22"/>
        </w:rPr>
        <w:t xml:space="preserve"> LBT aspects. On the other hand, in CA case (and some DC case), if UE would like to transmit UL channels, then the UE can use </w:t>
      </w:r>
      <w:proofErr w:type="spellStart"/>
      <w:r w:rsidR="00825993">
        <w:rPr>
          <w:rFonts w:eastAsiaTheme="minorEastAsia"/>
          <w:sz w:val="22"/>
        </w:rPr>
        <w:t>PCell</w:t>
      </w:r>
      <w:proofErr w:type="spellEnd"/>
      <w:r w:rsidR="00825993">
        <w:rPr>
          <w:rFonts w:eastAsiaTheme="minorEastAsia"/>
          <w:sz w:val="22"/>
        </w:rPr>
        <w:t xml:space="preserve"> or </w:t>
      </w:r>
      <w:proofErr w:type="spellStart"/>
      <w:r w:rsidR="00825993">
        <w:rPr>
          <w:rFonts w:eastAsiaTheme="minorEastAsia"/>
          <w:sz w:val="22"/>
        </w:rPr>
        <w:t>SCell</w:t>
      </w:r>
      <w:proofErr w:type="spellEnd"/>
      <w:r w:rsidR="00825993">
        <w:rPr>
          <w:rFonts w:eastAsiaTheme="minorEastAsia"/>
          <w:sz w:val="22"/>
        </w:rPr>
        <w:t xml:space="preserve"> in licensed-band. Then,</w:t>
      </w:r>
      <w:r>
        <w:rPr>
          <w:rFonts w:eastAsiaTheme="minorEastAsia"/>
          <w:sz w:val="22"/>
        </w:rPr>
        <w:t xml:space="preserve"> current</w:t>
      </w:r>
      <w:r w:rsidR="00825993">
        <w:rPr>
          <w:rFonts w:eastAsiaTheme="minorEastAsia"/>
          <w:sz w:val="22"/>
        </w:rPr>
        <w:t xml:space="preserve"> NR Rel-15 is sufficient for resource allocation flexibility, and these features are not necessary for CA/DC except for DC between LTE-LAA and NR-U.</w:t>
      </w:r>
      <w:r>
        <w:rPr>
          <w:rFonts w:eastAsiaTheme="minorEastAsia"/>
          <w:sz w:val="22"/>
        </w:rPr>
        <w:t xml:space="preserve"> Therefore, we submit the following proposal.</w:t>
      </w:r>
    </w:p>
    <w:p w14:paraId="518EF3E5" w14:textId="77777777" w:rsidR="009C493A" w:rsidRPr="009C493A" w:rsidRDefault="009C493A" w:rsidP="009C493A">
      <w:pPr>
        <w:spacing w:afterLines="50" w:after="120"/>
        <w:jc w:val="both"/>
        <w:rPr>
          <w:rFonts w:eastAsiaTheme="minorEastAsia"/>
          <w:b/>
          <w:sz w:val="22"/>
          <w:u w:val="single"/>
        </w:rPr>
      </w:pPr>
      <w:r w:rsidRPr="009C493A">
        <w:rPr>
          <w:rFonts w:eastAsiaTheme="minorEastAsia" w:hint="eastAsia"/>
          <w:b/>
          <w:sz w:val="22"/>
          <w:u w:val="single"/>
        </w:rPr>
        <w:t xml:space="preserve">Proposal </w:t>
      </w:r>
      <w:r w:rsidRPr="009C493A">
        <w:rPr>
          <w:rFonts w:eastAsiaTheme="minorEastAsia"/>
          <w:b/>
          <w:sz w:val="22"/>
          <w:u w:val="single"/>
        </w:rPr>
        <w:t>1</w:t>
      </w:r>
      <w:r w:rsidRPr="009C493A">
        <w:rPr>
          <w:rFonts w:eastAsiaTheme="minorEastAsia" w:hint="eastAsia"/>
          <w:b/>
          <w:sz w:val="22"/>
          <w:u w:val="single"/>
        </w:rPr>
        <w:t>:</w:t>
      </w:r>
    </w:p>
    <w:p w14:paraId="2CD41FBE" w14:textId="62ED9F42" w:rsidR="00AC33A2" w:rsidRDefault="00EF26EF" w:rsidP="00AC33A2">
      <w:pPr>
        <w:pStyle w:val="afe"/>
        <w:numPr>
          <w:ilvl w:val="0"/>
          <w:numId w:val="21"/>
        </w:numPr>
        <w:spacing w:afterLines="50" w:after="120"/>
        <w:ind w:leftChars="0"/>
        <w:jc w:val="both"/>
        <w:rPr>
          <w:rFonts w:eastAsiaTheme="minorEastAsia"/>
          <w:i/>
          <w:sz w:val="22"/>
        </w:rPr>
      </w:pPr>
      <w:r w:rsidRPr="00DA056C">
        <w:rPr>
          <w:rFonts w:eastAsiaTheme="minorEastAsia"/>
          <w:i/>
          <w:sz w:val="22"/>
        </w:rPr>
        <w:t>The TR should be formulated such that which issues are identified in which scenario, and what types of potential solutions are beneficial for each scenario (wit</w:t>
      </w:r>
      <w:r>
        <w:rPr>
          <w:rFonts w:eastAsiaTheme="minorEastAsia"/>
          <w:i/>
          <w:sz w:val="22"/>
        </w:rPr>
        <w:t>h possibly simulation results).</w:t>
      </w:r>
    </w:p>
    <w:p w14:paraId="7A4807F1" w14:textId="724089BE" w:rsidR="00AC33A2" w:rsidRDefault="00EF26EF" w:rsidP="00EF26EF">
      <w:pPr>
        <w:pStyle w:val="afe"/>
        <w:numPr>
          <w:ilvl w:val="1"/>
          <w:numId w:val="21"/>
        </w:numPr>
        <w:spacing w:afterLines="50" w:after="120"/>
        <w:ind w:leftChars="0"/>
        <w:jc w:val="both"/>
        <w:rPr>
          <w:rFonts w:eastAsiaTheme="minorEastAsia"/>
          <w:i/>
          <w:sz w:val="22"/>
        </w:rPr>
      </w:pPr>
      <w:r>
        <w:rPr>
          <w:rFonts w:eastAsiaTheme="minorEastAsia"/>
          <w:i/>
          <w:sz w:val="22"/>
        </w:rPr>
        <w:t xml:space="preserve">e.g. </w:t>
      </w:r>
      <w:r w:rsidR="00AC33A2">
        <w:rPr>
          <w:rFonts w:eastAsiaTheme="minorEastAsia"/>
          <w:i/>
          <w:sz w:val="22"/>
        </w:rPr>
        <w:t>Flexible resource allocation for time domain configured grant resources such as non-consecutive resource allocation would not be necessary for CA/DC except for DC between LTE-LAA and NR-U.</w:t>
      </w:r>
    </w:p>
    <w:p w14:paraId="3E5CF1FD" w14:textId="1F6E0BB6" w:rsidR="00D40BC4" w:rsidRDefault="00D40BC4" w:rsidP="00BF14CE">
      <w:pPr>
        <w:spacing w:afterLines="50" w:after="120"/>
        <w:jc w:val="both"/>
        <w:rPr>
          <w:rFonts w:eastAsiaTheme="minorEastAsia"/>
          <w:sz w:val="22"/>
        </w:rPr>
      </w:pPr>
      <w:bookmarkStart w:id="7" w:name="_GoBack"/>
      <w:bookmarkEnd w:id="7"/>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470A5CE8"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F932AA">
        <w:rPr>
          <w:rFonts w:eastAsiaTheme="minorEastAsia"/>
          <w:sz w:val="22"/>
        </w:rPr>
        <w:t>enhancements to configured grant for NR-U</w:t>
      </w:r>
      <w:r w:rsidR="00CB09E2">
        <w:rPr>
          <w:rFonts w:eastAsia="SimSun"/>
          <w:sz w:val="22"/>
          <w:szCs w:val="22"/>
          <w:lang w:eastAsia="zh-CN"/>
        </w:rPr>
        <w:t xml:space="preserve"> </w:t>
      </w:r>
      <w:r w:rsidR="00CB09E2">
        <w:rPr>
          <w:rFonts w:eastAsia="SimSun" w:hint="eastAsia"/>
          <w:sz w:val="22"/>
          <w:szCs w:val="22"/>
          <w:lang w:eastAsia="zh-CN"/>
        </w:rPr>
        <w:t xml:space="preserve">and proposed </w:t>
      </w:r>
      <w:r w:rsidR="009C6CDD">
        <w:rPr>
          <w:rFonts w:eastAsia="SimSun"/>
          <w:sz w:val="22"/>
          <w:szCs w:val="22"/>
          <w:lang w:eastAsia="zh-CN"/>
        </w:rPr>
        <w:t xml:space="preserve">the </w:t>
      </w:r>
      <w:r w:rsidR="00CB09E2">
        <w:rPr>
          <w:rFonts w:eastAsia="SimSun" w:hint="eastAsia"/>
          <w:sz w:val="22"/>
          <w:szCs w:val="22"/>
          <w:lang w:eastAsia="zh-CN"/>
        </w:rPr>
        <w:t>following:</w:t>
      </w:r>
    </w:p>
    <w:p w14:paraId="2579A648" w14:textId="77777777" w:rsidR="00F932AA" w:rsidRPr="009C493A" w:rsidRDefault="00F932AA" w:rsidP="00C13996">
      <w:pPr>
        <w:spacing w:afterLines="50" w:after="120"/>
        <w:jc w:val="both"/>
        <w:rPr>
          <w:rFonts w:eastAsiaTheme="minorEastAsia"/>
          <w:b/>
          <w:sz w:val="22"/>
          <w:u w:val="single"/>
        </w:rPr>
      </w:pPr>
      <w:r w:rsidRPr="009C493A">
        <w:rPr>
          <w:rFonts w:eastAsiaTheme="minorEastAsia" w:hint="eastAsia"/>
          <w:b/>
          <w:sz w:val="22"/>
          <w:u w:val="single"/>
        </w:rPr>
        <w:t xml:space="preserve">Proposal </w:t>
      </w:r>
      <w:r w:rsidRPr="009C493A">
        <w:rPr>
          <w:rFonts w:eastAsiaTheme="minorEastAsia"/>
          <w:b/>
          <w:sz w:val="22"/>
          <w:u w:val="single"/>
        </w:rPr>
        <w:t>1</w:t>
      </w:r>
      <w:r w:rsidRPr="009C493A">
        <w:rPr>
          <w:rFonts w:eastAsiaTheme="minorEastAsia" w:hint="eastAsia"/>
          <w:b/>
          <w:sz w:val="22"/>
          <w:u w:val="single"/>
        </w:rPr>
        <w:t>:</w:t>
      </w:r>
    </w:p>
    <w:p w14:paraId="46ECCCD5" w14:textId="77777777" w:rsidR="00F932AA" w:rsidRDefault="00F932AA" w:rsidP="00F932AA">
      <w:pPr>
        <w:pStyle w:val="afe"/>
        <w:numPr>
          <w:ilvl w:val="0"/>
          <w:numId w:val="21"/>
        </w:numPr>
        <w:spacing w:afterLines="50" w:after="120"/>
        <w:ind w:leftChars="0"/>
        <w:jc w:val="both"/>
        <w:rPr>
          <w:rFonts w:eastAsiaTheme="minorEastAsia"/>
          <w:i/>
          <w:sz w:val="22"/>
        </w:rPr>
      </w:pPr>
      <w:r w:rsidRPr="00DA056C">
        <w:rPr>
          <w:rFonts w:eastAsiaTheme="minorEastAsia"/>
          <w:i/>
          <w:sz w:val="22"/>
        </w:rPr>
        <w:t>The TR should be formulated such that which issues are identified in which scenario, and what types of potential solutions are beneficial for each scenario (wit</w:t>
      </w:r>
      <w:r>
        <w:rPr>
          <w:rFonts w:eastAsiaTheme="minorEastAsia"/>
          <w:i/>
          <w:sz w:val="22"/>
        </w:rPr>
        <w:t>h possibly simulation results).</w:t>
      </w:r>
    </w:p>
    <w:p w14:paraId="057AD575" w14:textId="77777777" w:rsidR="00F932AA" w:rsidRDefault="00F932AA" w:rsidP="00F932AA">
      <w:pPr>
        <w:pStyle w:val="afe"/>
        <w:numPr>
          <w:ilvl w:val="1"/>
          <w:numId w:val="21"/>
        </w:numPr>
        <w:spacing w:afterLines="50" w:after="120"/>
        <w:ind w:leftChars="0"/>
        <w:jc w:val="both"/>
        <w:rPr>
          <w:rFonts w:eastAsiaTheme="minorEastAsia"/>
          <w:i/>
          <w:sz w:val="22"/>
        </w:rPr>
      </w:pPr>
      <w:r>
        <w:rPr>
          <w:rFonts w:eastAsiaTheme="minorEastAsia"/>
          <w:i/>
          <w:sz w:val="22"/>
        </w:rPr>
        <w:t>e.g. Flexible resource allocation for time domain configured grant resources such as non-consecutive resource allocation would not be necessary for CA/DC except for DC between LTE-LAA and NR-U.</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4195B29A" w14:textId="647D4363" w:rsidR="00F5588C" w:rsidRPr="00F93909" w:rsidRDefault="00F932AA" w:rsidP="009B2EB3">
      <w:pPr>
        <w:widowControl w:val="0"/>
        <w:numPr>
          <w:ilvl w:val="0"/>
          <w:numId w:val="4"/>
        </w:numPr>
        <w:spacing w:after="60"/>
        <w:jc w:val="both"/>
        <w:rPr>
          <w:sz w:val="22"/>
          <w:szCs w:val="22"/>
          <w:lang w:val="en-US"/>
        </w:rPr>
      </w:pPr>
      <w:r w:rsidRPr="00A603DE">
        <w:rPr>
          <w:rFonts w:eastAsia="SimSun"/>
          <w:kern w:val="2"/>
          <w:sz w:val="22"/>
          <w:szCs w:val="22"/>
          <w:lang w:eastAsia="zh-CN"/>
        </w:rPr>
        <w:t>RP-181339</w:t>
      </w:r>
      <w:r>
        <w:rPr>
          <w:rFonts w:eastAsia="SimSun"/>
          <w:kern w:val="2"/>
          <w:sz w:val="22"/>
          <w:szCs w:val="22"/>
          <w:lang w:eastAsia="zh-CN"/>
        </w:rPr>
        <w:tab/>
      </w:r>
      <w:r w:rsidRPr="00A603DE">
        <w:rPr>
          <w:rFonts w:eastAsia="SimSun"/>
          <w:kern w:val="2"/>
          <w:sz w:val="22"/>
          <w:szCs w:val="22"/>
          <w:lang w:eastAsia="zh-CN"/>
        </w:rPr>
        <w:t>Revised SID on NR-based Access to Unlicensed Spectrum</w:t>
      </w:r>
      <w:r>
        <w:rPr>
          <w:rFonts w:eastAsia="SimSun"/>
          <w:kern w:val="2"/>
          <w:sz w:val="22"/>
          <w:szCs w:val="22"/>
          <w:lang w:eastAsia="zh-CN"/>
        </w:rPr>
        <w:tab/>
        <w:t>Qualcomm</w:t>
      </w:r>
    </w:p>
    <w:p w14:paraId="4177A416" w14:textId="77777777" w:rsidR="00B1461C" w:rsidRPr="00B1461C" w:rsidRDefault="00B1461C" w:rsidP="009B2EB3">
      <w:pPr>
        <w:widowControl w:val="0"/>
        <w:spacing w:after="60"/>
        <w:jc w:val="both"/>
        <w:rPr>
          <w:sz w:val="22"/>
          <w:szCs w:val="22"/>
          <w:lang w:val="en-US"/>
        </w:rPr>
      </w:pPr>
    </w:p>
    <w:sectPr w:rsidR="00B1461C" w:rsidRPr="00B146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BF133" w14:textId="77777777" w:rsidR="009A7B24" w:rsidRDefault="009A7B24">
      <w:r>
        <w:separator/>
      </w:r>
    </w:p>
  </w:endnote>
  <w:endnote w:type="continuationSeparator" w:id="0">
    <w:p w14:paraId="5F3C20D0" w14:textId="77777777" w:rsidR="009A7B24" w:rsidRDefault="009A7B24">
      <w:r>
        <w:continuationSeparator/>
      </w:r>
    </w:p>
  </w:endnote>
  <w:endnote w:type="continuationNotice" w:id="1">
    <w:p w14:paraId="1005CB8E" w14:textId="77777777" w:rsidR="009A7B24" w:rsidRDefault="009A7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19C55F9" w:rsidR="00CC3BC7" w:rsidRPr="00000924" w:rsidRDefault="00CC3BC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C5FBB">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C5FBB">
      <w:rPr>
        <w:rStyle w:val="af3"/>
        <w:rFonts w:eastAsia="ＭＳ ゴシック"/>
        <w:noProof/>
      </w:rPr>
      <w:t>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0468E" w14:textId="77777777" w:rsidR="009A7B24" w:rsidRDefault="009A7B24">
      <w:r>
        <w:separator/>
      </w:r>
    </w:p>
  </w:footnote>
  <w:footnote w:type="continuationSeparator" w:id="0">
    <w:p w14:paraId="65787FF6" w14:textId="77777777" w:rsidR="009A7B24" w:rsidRDefault="009A7B24">
      <w:r>
        <w:continuationSeparator/>
      </w:r>
    </w:p>
  </w:footnote>
  <w:footnote w:type="continuationNotice" w:id="1">
    <w:p w14:paraId="412583FC" w14:textId="77777777" w:rsidR="009A7B24" w:rsidRDefault="009A7B2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8E6AD9"/>
    <w:multiLevelType w:val="hybridMultilevel"/>
    <w:tmpl w:val="91D06BE2"/>
    <w:lvl w:ilvl="0" w:tplc="70BEAD2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DD58F3"/>
    <w:multiLevelType w:val="hybridMultilevel"/>
    <w:tmpl w:val="67A0F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9622BC"/>
    <w:multiLevelType w:val="hybridMultilevel"/>
    <w:tmpl w:val="3B9415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ＭＳ 明朝"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13E8293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306F7E"/>
    <w:multiLevelType w:val="hybridMultilevel"/>
    <w:tmpl w:val="CB5C4676"/>
    <w:lvl w:ilvl="0" w:tplc="323EC3DE">
      <w:start w:val="206"/>
      <w:numFmt w:val="bullet"/>
      <w:lvlText w:val="•"/>
      <w:lvlJc w:val="left"/>
      <w:pPr>
        <w:tabs>
          <w:tab w:val="num" w:pos="2520"/>
        </w:tabs>
        <w:ind w:left="25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9E35DB0"/>
    <w:multiLevelType w:val="hybridMultilevel"/>
    <w:tmpl w:val="5CE2A280"/>
    <w:lvl w:ilvl="0" w:tplc="BBA8BFD8">
      <w:numFmt w:val="bullet"/>
      <w:lvlText w:val="-"/>
      <w:lvlJc w:val="left"/>
      <w:pPr>
        <w:ind w:left="420" w:hanging="420"/>
      </w:pPr>
      <w:rPr>
        <w:rFonts w:ascii="Times New Roman" w:eastAsiaTheme="minorEastAsia" w:hAnsi="Times New Roman" w:cs="Times New Roman"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8"/>
  </w:num>
  <w:num w:numId="4">
    <w:abstractNumId w:val="8"/>
  </w:num>
  <w:num w:numId="5">
    <w:abstractNumId w:val="36"/>
  </w:num>
  <w:num w:numId="6">
    <w:abstractNumId w:val="28"/>
  </w:num>
  <w:num w:numId="7">
    <w:abstractNumId w:val="2"/>
  </w:num>
  <w:num w:numId="8">
    <w:abstractNumId w:val="33"/>
  </w:num>
  <w:num w:numId="9">
    <w:abstractNumId w:val="14"/>
  </w:num>
  <w:num w:numId="10">
    <w:abstractNumId w:val="33"/>
  </w:num>
  <w:num w:numId="11">
    <w:abstractNumId w:val="9"/>
  </w:num>
  <w:num w:numId="12">
    <w:abstractNumId w:val="38"/>
  </w:num>
  <w:num w:numId="13">
    <w:abstractNumId w:val="5"/>
  </w:num>
  <w:num w:numId="14">
    <w:abstractNumId w:val="30"/>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9"/>
  </w:num>
  <w:num w:numId="18">
    <w:abstractNumId w:val="20"/>
  </w:num>
  <w:num w:numId="19">
    <w:abstractNumId w:val="19"/>
  </w:num>
  <w:num w:numId="20">
    <w:abstractNumId w:val="11"/>
  </w:num>
  <w:num w:numId="21">
    <w:abstractNumId w:val="6"/>
  </w:num>
  <w:num w:numId="22">
    <w:abstractNumId w:val="13"/>
  </w:num>
  <w:num w:numId="23">
    <w:abstractNumId w:val="17"/>
  </w:num>
  <w:num w:numId="24">
    <w:abstractNumId w:val="26"/>
  </w:num>
  <w:num w:numId="25">
    <w:abstractNumId w:val="24"/>
  </w:num>
  <w:num w:numId="26">
    <w:abstractNumId w:val="22"/>
  </w:num>
  <w:num w:numId="27">
    <w:abstractNumId w:val="23"/>
  </w:num>
  <w:num w:numId="28">
    <w:abstractNumId w:val="10"/>
  </w:num>
  <w:num w:numId="29">
    <w:abstractNumId w:val="16"/>
  </w:num>
  <w:num w:numId="30">
    <w:abstractNumId w:val="15"/>
  </w:num>
  <w:num w:numId="31">
    <w:abstractNumId w:val="1"/>
    <w:lvlOverride w:ilvl="0">
      <w:lvl w:ilvl="0">
        <w:numFmt w:val="bullet"/>
        <w:lvlText w:val=""/>
        <w:legacy w:legacy="1" w:legacySpace="0" w:legacyIndent="0"/>
        <w:lvlJc w:val="left"/>
        <w:rPr>
          <w:rFonts w:ascii="Symbol" w:hAnsi="Symbol" w:hint="default"/>
          <w:sz w:val="32"/>
        </w:rPr>
      </w:lvl>
    </w:lvlOverride>
  </w:num>
  <w:num w:numId="32">
    <w:abstractNumId w:val="7"/>
  </w:num>
  <w:num w:numId="33">
    <w:abstractNumId w:val="4"/>
  </w:num>
  <w:num w:numId="34">
    <w:abstractNumId w:val="34"/>
  </w:num>
  <w:num w:numId="35">
    <w:abstractNumId w:val="21"/>
  </w:num>
  <w:num w:numId="36">
    <w:abstractNumId w:val="31"/>
  </w:num>
  <w:num w:numId="37">
    <w:abstractNumId w:val="35"/>
  </w:num>
  <w:num w:numId="38">
    <w:abstractNumId w:val="25"/>
  </w:num>
  <w:num w:numId="39">
    <w:abstractNumId w:val="37"/>
  </w:num>
  <w:num w:numId="40">
    <w:abstractNumId w:val="12"/>
  </w:num>
  <w:num w:numId="41">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2FB1"/>
    <w:rsid w:val="00033641"/>
    <w:rsid w:val="000336B6"/>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DC6"/>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07C"/>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417"/>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712"/>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A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441"/>
    <w:rsid w:val="000956CC"/>
    <w:rsid w:val="00095AF4"/>
    <w:rsid w:val="00095DBC"/>
    <w:rsid w:val="000961F5"/>
    <w:rsid w:val="000966A3"/>
    <w:rsid w:val="00096785"/>
    <w:rsid w:val="00096C08"/>
    <w:rsid w:val="00096E6F"/>
    <w:rsid w:val="00097021"/>
    <w:rsid w:val="000973E8"/>
    <w:rsid w:val="0009747A"/>
    <w:rsid w:val="000976C7"/>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1E9"/>
    <w:rsid w:val="000D7D6C"/>
    <w:rsid w:val="000D7E41"/>
    <w:rsid w:val="000D7EAE"/>
    <w:rsid w:val="000E009E"/>
    <w:rsid w:val="000E0145"/>
    <w:rsid w:val="000E0529"/>
    <w:rsid w:val="000E056E"/>
    <w:rsid w:val="000E070C"/>
    <w:rsid w:val="000E0751"/>
    <w:rsid w:val="000E1120"/>
    <w:rsid w:val="000E1B84"/>
    <w:rsid w:val="000E207F"/>
    <w:rsid w:val="000E2243"/>
    <w:rsid w:val="000E22A4"/>
    <w:rsid w:val="000E2332"/>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95C"/>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31E"/>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5B8"/>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652"/>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B9D"/>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02C"/>
    <w:rsid w:val="001542DB"/>
    <w:rsid w:val="0015439F"/>
    <w:rsid w:val="001545B1"/>
    <w:rsid w:val="001549D4"/>
    <w:rsid w:val="00154AD1"/>
    <w:rsid w:val="00154C6A"/>
    <w:rsid w:val="00154ECF"/>
    <w:rsid w:val="00154F8D"/>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93"/>
    <w:rsid w:val="00180FFF"/>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BB"/>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1E4"/>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4FA"/>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4FB"/>
    <w:rsid w:val="001E4B78"/>
    <w:rsid w:val="001E4F6D"/>
    <w:rsid w:val="001E598E"/>
    <w:rsid w:val="001E6BB3"/>
    <w:rsid w:val="001E6FC3"/>
    <w:rsid w:val="001E71B9"/>
    <w:rsid w:val="001E763D"/>
    <w:rsid w:val="001E7814"/>
    <w:rsid w:val="001E78AD"/>
    <w:rsid w:val="001E7AE6"/>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1DD"/>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CF7"/>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AB"/>
    <w:rsid w:val="0020744F"/>
    <w:rsid w:val="0020746F"/>
    <w:rsid w:val="00207591"/>
    <w:rsid w:val="002077C0"/>
    <w:rsid w:val="00207B54"/>
    <w:rsid w:val="00207C49"/>
    <w:rsid w:val="0021080D"/>
    <w:rsid w:val="00210B76"/>
    <w:rsid w:val="00211348"/>
    <w:rsid w:val="0021156E"/>
    <w:rsid w:val="00212281"/>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516"/>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60"/>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1"/>
    <w:rsid w:val="002822E8"/>
    <w:rsid w:val="00282519"/>
    <w:rsid w:val="00282932"/>
    <w:rsid w:val="002831C2"/>
    <w:rsid w:val="00283873"/>
    <w:rsid w:val="00283AC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510"/>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B0F"/>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A63"/>
    <w:rsid w:val="00323792"/>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CE4"/>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BFB"/>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4C8"/>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3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B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52F"/>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6EC"/>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EA"/>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406"/>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356"/>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2C3"/>
    <w:rsid w:val="00450542"/>
    <w:rsid w:val="00450C13"/>
    <w:rsid w:val="00450EA8"/>
    <w:rsid w:val="00451147"/>
    <w:rsid w:val="00451638"/>
    <w:rsid w:val="004519FB"/>
    <w:rsid w:val="00452041"/>
    <w:rsid w:val="00452209"/>
    <w:rsid w:val="00452316"/>
    <w:rsid w:val="00452F8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72"/>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AB1"/>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971"/>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6B4"/>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D97"/>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8B3"/>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B91"/>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D4"/>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63"/>
    <w:rsid w:val="00542434"/>
    <w:rsid w:val="0054292B"/>
    <w:rsid w:val="00542949"/>
    <w:rsid w:val="00543370"/>
    <w:rsid w:val="0054350C"/>
    <w:rsid w:val="00543578"/>
    <w:rsid w:val="00543970"/>
    <w:rsid w:val="00543EF0"/>
    <w:rsid w:val="005442DD"/>
    <w:rsid w:val="005445AE"/>
    <w:rsid w:val="005450D6"/>
    <w:rsid w:val="005450FD"/>
    <w:rsid w:val="0054521F"/>
    <w:rsid w:val="0054533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760"/>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70F"/>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5C1"/>
    <w:rsid w:val="00572779"/>
    <w:rsid w:val="005727A9"/>
    <w:rsid w:val="00572984"/>
    <w:rsid w:val="00572B2A"/>
    <w:rsid w:val="00572BCE"/>
    <w:rsid w:val="00572C9F"/>
    <w:rsid w:val="00572DDC"/>
    <w:rsid w:val="00572FEC"/>
    <w:rsid w:val="005736B8"/>
    <w:rsid w:val="00573DA3"/>
    <w:rsid w:val="00573E1E"/>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77FB2"/>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5E2"/>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87E"/>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364"/>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123"/>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3B3"/>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647"/>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0933"/>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712"/>
    <w:rsid w:val="0062189F"/>
    <w:rsid w:val="006218C6"/>
    <w:rsid w:val="00621B6F"/>
    <w:rsid w:val="00621C6F"/>
    <w:rsid w:val="00622244"/>
    <w:rsid w:val="006223A6"/>
    <w:rsid w:val="00622823"/>
    <w:rsid w:val="0062302D"/>
    <w:rsid w:val="006230FA"/>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0F8"/>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A93"/>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D50"/>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A2"/>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51D"/>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5D8"/>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039"/>
    <w:rsid w:val="006A4338"/>
    <w:rsid w:val="006A480F"/>
    <w:rsid w:val="006A4B8E"/>
    <w:rsid w:val="006A4C70"/>
    <w:rsid w:val="006A50C3"/>
    <w:rsid w:val="006A5216"/>
    <w:rsid w:val="006A5B12"/>
    <w:rsid w:val="006A62F1"/>
    <w:rsid w:val="006A63AF"/>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8DE"/>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1AD5"/>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13E"/>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90A"/>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9F"/>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2AD"/>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4E4D"/>
    <w:rsid w:val="00755136"/>
    <w:rsid w:val="0075536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2DE"/>
    <w:rsid w:val="0078255E"/>
    <w:rsid w:val="00782D8D"/>
    <w:rsid w:val="00783631"/>
    <w:rsid w:val="00784276"/>
    <w:rsid w:val="00784318"/>
    <w:rsid w:val="007847D8"/>
    <w:rsid w:val="00784896"/>
    <w:rsid w:val="00784BEF"/>
    <w:rsid w:val="0078514E"/>
    <w:rsid w:val="0078548B"/>
    <w:rsid w:val="007855E6"/>
    <w:rsid w:val="00785A1D"/>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70C"/>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B7304"/>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4EA6"/>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F00"/>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7"/>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2DD"/>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993"/>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97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43"/>
    <w:rsid w:val="00841B9D"/>
    <w:rsid w:val="008433BB"/>
    <w:rsid w:val="0084340E"/>
    <w:rsid w:val="00843888"/>
    <w:rsid w:val="00843938"/>
    <w:rsid w:val="00843959"/>
    <w:rsid w:val="00843BA0"/>
    <w:rsid w:val="0084420C"/>
    <w:rsid w:val="0084466C"/>
    <w:rsid w:val="008451C6"/>
    <w:rsid w:val="00845502"/>
    <w:rsid w:val="0084555B"/>
    <w:rsid w:val="0084562C"/>
    <w:rsid w:val="00845D6E"/>
    <w:rsid w:val="0084607E"/>
    <w:rsid w:val="00846242"/>
    <w:rsid w:val="00846B59"/>
    <w:rsid w:val="00846DD0"/>
    <w:rsid w:val="008470F2"/>
    <w:rsid w:val="0084722C"/>
    <w:rsid w:val="0084751E"/>
    <w:rsid w:val="00847883"/>
    <w:rsid w:val="00847DC6"/>
    <w:rsid w:val="00847F36"/>
    <w:rsid w:val="008505F1"/>
    <w:rsid w:val="00850715"/>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2A5"/>
    <w:rsid w:val="0086780A"/>
    <w:rsid w:val="00867941"/>
    <w:rsid w:val="00867A03"/>
    <w:rsid w:val="00867D3F"/>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CBF"/>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6C"/>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61B"/>
    <w:rsid w:val="00912A91"/>
    <w:rsid w:val="00912E8D"/>
    <w:rsid w:val="0091306D"/>
    <w:rsid w:val="009135C6"/>
    <w:rsid w:val="00913759"/>
    <w:rsid w:val="00913B4C"/>
    <w:rsid w:val="00913D29"/>
    <w:rsid w:val="00914199"/>
    <w:rsid w:val="009142BA"/>
    <w:rsid w:val="0091452D"/>
    <w:rsid w:val="0091464F"/>
    <w:rsid w:val="00914DDE"/>
    <w:rsid w:val="00915411"/>
    <w:rsid w:val="00915513"/>
    <w:rsid w:val="00915AEE"/>
    <w:rsid w:val="00915B22"/>
    <w:rsid w:val="00915FB9"/>
    <w:rsid w:val="00915FF0"/>
    <w:rsid w:val="00916170"/>
    <w:rsid w:val="00916596"/>
    <w:rsid w:val="00916BD8"/>
    <w:rsid w:val="00916EF2"/>
    <w:rsid w:val="00917658"/>
    <w:rsid w:val="009178C8"/>
    <w:rsid w:val="00920083"/>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B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09B"/>
    <w:rsid w:val="00954473"/>
    <w:rsid w:val="0095468D"/>
    <w:rsid w:val="00954692"/>
    <w:rsid w:val="0095494C"/>
    <w:rsid w:val="00954F88"/>
    <w:rsid w:val="009560A8"/>
    <w:rsid w:val="009560DC"/>
    <w:rsid w:val="00956689"/>
    <w:rsid w:val="00957263"/>
    <w:rsid w:val="009572EC"/>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1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B22"/>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342"/>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959"/>
    <w:rsid w:val="009A3B6D"/>
    <w:rsid w:val="009A4024"/>
    <w:rsid w:val="009A416D"/>
    <w:rsid w:val="009A4263"/>
    <w:rsid w:val="009A4796"/>
    <w:rsid w:val="009A4B50"/>
    <w:rsid w:val="009A5EC0"/>
    <w:rsid w:val="009A6218"/>
    <w:rsid w:val="009A62ED"/>
    <w:rsid w:val="009A635C"/>
    <w:rsid w:val="009A6653"/>
    <w:rsid w:val="009A77DC"/>
    <w:rsid w:val="009A7B24"/>
    <w:rsid w:val="009A7BC4"/>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EB3"/>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4D1"/>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3A"/>
    <w:rsid w:val="009C496A"/>
    <w:rsid w:val="009C4C13"/>
    <w:rsid w:val="009C4E2C"/>
    <w:rsid w:val="009C51F3"/>
    <w:rsid w:val="009C529E"/>
    <w:rsid w:val="009C5AC6"/>
    <w:rsid w:val="009C5B93"/>
    <w:rsid w:val="009C5E31"/>
    <w:rsid w:val="009C5EB3"/>
    <w:rsid w:val="009C60AA"/>
    <w:rsid w:val="009C6483"/>
    <w:rsid w:val="009C65AA"/>
    <w:rsid w:val="009C67BD"/>
    <w:rsid w:val="009C6CD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4EF5"/>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B8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3F4"/>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A8E"/>
    <w:rsid w:val="00A23059"/>
    <w:rsid w:val="00A231E5"/>
    <w:rsid w:val="00A231F8"/>
    <w:rsid w:val="00A234B5"/>
    <w:rsid w:val="00A23FC9"/>
    <w:rsid w:val="00A24462"/>
    <w:rsid w:val="00A245CD"/>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1F5"/>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4A8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47F7A"/>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BF1"/>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681"/>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3A2"/>
    <w:rsid w:val="00AC36A8"/>
    <w:rsid w:val="00AC3EFF"/>
    <w:rsid w:val="00AC438F"/>
    <w:rsid w:val="00AC563B"/>
    <w:rsid w:val="00AC60FC"/>
    <w:rsid w:val="00AC6A5A"/>
    <w:rsid w:val="00AC6CE7"/>
    <w:rsid w:val="00AC6EA0"/>
    <w:rsid w:val="00AC7B1E"/>
    <w:rsid w:val="00AC7EB2"/>
    <w:rsid w:val="00AD0372"/>
    <w:rsid w:val="00AD0554"/>
    <w:rsid w:val="00AD0BE8"/>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7CB"/>
    <w:rsid w:val="00AF2F31"/>
    <w:rsid w:val="00AF3639"/>
    <w:rsid w:val="00AF36C7"/>
    <w:rsid w:val="00AF3769"/>
    <w:rsid w:val="00AF3AB8"/>
    <w:rsid w:val="00AF3BDB"/>
    <w:rsid w:val="00AF3CEB"/>
    <w:rsid w:val="00AF3CF3"/>
    <w:rsid w:val="00AF40C9"/>
    <w:rsid w:val="00AF469D"/>
    <w:rsid w:val="00AF47ED"/>
    <w:rsid w:val="00AF48F6"/>
    <w:rsid w:val="00AF4F9A"/>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382"/>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D0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578"/>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4CE"/>
    <w:rsid w:val="00BF1C25"/>
    <w:rsid w:val="00BF2B7C"/>
    <w:rsid w:val="00BF2E16"/>
    <w:rsid w:val="00BF31A4"/>
    <w:rsid w:val="00BF3386"/>
    <w:rsid w:val="00BF338E"/>
    <w:rsid w:val="00BF3F22"/>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50"/>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93"/>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3C"/>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ABF"/>
    <w:rsid w:val="00C92D88"/>
    <w:rsid w:val="00C92DB8"/>
    <w:rsid w:val="00C931CD"/>
    <w:rsid w:val="00C932D2"/>
    <w:rsid w:val="00C93611"/>
    <w:rsid w:val="00C936A0"/>
    <w:rsid w:val="00C93889"/>
    <w:rsid w:val="00C93C8E"/>
    <w:rsid w:val="00C948C4"/>
    <w:rsid w:val="00C95254"/>
    <w:rsid w:val="00C95903"/>
    <w:rsid w:val="00C95DDB"/>
    <w:rsid w:val="00C95FC5"/>
    <w:rsid w:val="00C9725F"/>
    <w:rsid w:val="00C973B5"/>
    <w:rsid w:val="00C9761A"/>
    <w:rsid w:val="00C977CC"/>
    <w:rsid w:val="00C97EC5"/>
    <w:rsid w:val="00C97EF8"/>
    <w:rsid w:val="00CA012A"/>
    <w:rsid w:val="00CA06EC"/>
    <w:rsid w:val="00CA091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14F"/>
    <w:rsid w:val="00CC126E"/>
    <w:rsid w:val="00CC1852"/>
    <w:rsid w:val="00CC1949"/>
    <w:rsid w:val="00CC1B85"/>
    <w:rsid w:val="00CC1FF2"/>
    <w:rsid w:val="00CC2134"/>
    <w:rsid w:val="00CC2421"/>
    <w:rsid w:val="00CC24DD"/>
    <w:rsid w:val="00CC2913"/>
    <w:rsid w:val="00CC2FCC"/>
    <w:rsid w:val="00CC3092"/>
    <w:rsid w:val="00CC3B4F"/>
    <w:rsid w:val="00CC3BC7"/>
    <w:rsid w:val="00CC465D"/>
    <w:rsid w:val="00CC4686"/>
    <w:rsid w:val="00CC4BD5"/>
    <w:rsid w:val="00CC4C49"/>
    <w:rsid w:val="00CC4D47"/>
    <w:rsid w:val="00CC5010"/>
    <w:rsid w:val="00CC5199"/>
    <w:rsid w:val="00CC5D41"/>
    <w:rsid w:val="00CC5E8F"/>
    <w:rsid w:val="00CC5FBB"/>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2C89"/>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13"/>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0BC4"/>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181"/>
    <w:rsid w:val="00D57220"/>
    <w:rsid w:val="00D578B3"/>
    <w:rsid w:val="00D57B90"/>
    <w:rsid w:val="00D57DC7"/>
    <w:rsid w:val="00D57EE6"/>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F7"/>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D1B"/>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4BF"/>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994"/>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8AB"/>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882"/>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AD1"/>
    <w:rsid w:val="00E56CC7"/>
    <w:rsid w:val="00E56F01"/>
    <w:rsid w:val="00E56F95"/>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A42"/>
    <w:rsid w:val="00E65BCB"/>
    <w:rsid w:val="00E660F8"/>
    <w:rsid w:val="00E662D7"/>
    <w:rsid w:val="00E66577"/>
    <w:rsid w:val="00E66A32"/>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1B1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C4B"/>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7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78E"/>
    <w:rsid w:val="00ED7E0C"/>
    <w:rsid w:val="00EE02FE"/>
    <w:rsid w:val="00EE043A"/>
    <w:rsid w:val="00EE083D"/>
    <w:rsid w:val="00EE0A49"/>
    <w:rsid w:val="00EE0EF5"/>
    <w:rsid w:val="00EE107C"/>
    <w:rsid w:val="00EE153B"/>
    <w:rsid w:val="00EE2285"/>
    <w:rsid w:val="00EE22ED"/>
    <w:rsid w:val="00EE28D1"/>
    <w:rsid w:val="00EE2DD4"/>
    <w:rsid w:val="00EE2F9D"/>
    <w:rsid w:val="00EE3318"/>
    <w:rsid w:val="00EE37A8"/>
    <w:rsid w:val="00EE387E"/>
    <w:rsid w:val="00EE3B4C"/>
    <w:rsid w:val="00EE3B88"/>
    <w:rsid w:val="00EE44D1"/>
    <w:rsid w:val="00EE4680"/>
    <w:rsid w:val="00EE48F7"/>
    <w:rsid w:val="00EE5A37"/>
    <w:rsid w:val="00EE624E"/>
    <w:rsid w:val="00EE62A1"/>
    <w:rsid w:val="00EE6825"/>
    <w:rsid w:val="00EE69C6"/>
    <w:rsid w:val="00EE6C21"/>
    <w:rsid w:val="00EE6DF6"/>
    <w:rsid w:val="00EE70A9"/>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6EF"/>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88C"/>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AD7"/>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2AA"/>
    <w:rsid w:val="00F93427"/>
    <w:rsid w:val="00F93511"/>
    <w:rsid w:val="00F9389C"/>
    <w:rsid w:val="00F93909"/>
    <w:rsid w:val="00F93AF3"/>
    <w:rsid w:val="00F940D0"/>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3EC"/>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86"/>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698"/>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284"/>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8E4D5A2A-2477-496C-840B-5E43F9A91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32A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
    <w:basedOn w:val="a1"/>
    <w:link w:val="aff"/>
    <w:uiPriority w:val="34"/>
    <w:qFormat/>
    <w:rsid w:val="00E52C8E"/>
    <w:pPr>
      <w:ind w:leftChars="400" w:left="840"/>
    </w:pPr>
  </w:style>
  <w:style w:type="character" w:customStyle="1" w:styleId="aff">
    <w:name w:val="リスト段落 (文字)"/>
    <w:aliases w:val="- Bullets (文字),목록 단락 (文字),列出段落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B10">
    <w:name w:val="B1 (文字)"/>
    <w:qFormat/>
    <w:rsid w:val="0091261B"/>
    <w:rPr>
      <w:rFonts w:eastAsia="ＭＳ 明朝"/>
      <w:lang w:val="en-GB" w:eastAsia="en-US" w:bidi="ar-SA"/>
    </w:rPr>
  </w:style>
  <w:style w:type="table" w:customStyle="1" w:styleId="13">
    <w:name w:val="表 (格子)1"/>
    <w:basedOn w:val="a3"/>
    <w:next w:val="afc"/>
    <w:rsid w:val="00F558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表 (格子)5"/>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 (格子)9"/>
    <w:basedOn w:val="a3"/>
    <w:next w:val="afc"/>
    <w:rsid w:val="009C49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1999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81422">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029FF-42C2-4BD9-9320-947EDF44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852</Words>
  <Characters>4862</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5</cp:revision>
  <cp:lastPrinted>2016-09-21T11:03:00Z</cp:lastPrinted>
  <dcterms:created xsi:type="dcterms:W3CDTF">2018-09-29T02:47:00Z</dcterms:created>
  <dcterms:modified xsi:type="dcterms:W3CDTF">2018-09-29T04:56:00Z</dcterms:modified>
</cp:coreProperties>
</file>